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0356" w:rsidRPr="00DA0356" w:rsidRDefault="00DA0356" w:rsidP="00DA0356">
      <w:pPr>
        <w:keepNext/>
        <w:keepLines/>
        <w:spacing w:before="240" w:after="0"/>
        <w:outlineLvl w:val="0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bookmarkStart w:id="0" w:name="_Toc134391502"/>
      <w:r w:rsidRPr="00DA0356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Rozdział IV. Analiza potrzeb i potencjału LSR</w:t>
      </w:r>
      <w:bookmarkEnd w:id="0"/>
    </w:p>
    <w:p w:rsidR="00DA0356" w:rsidRPr="00DA0356" w:rsidRDefault="00DA0356" w:rsidP="00DA0356">
      <w:pPr>
        <w:spacing w:before="120" w:after="0" w:line="276" w:lineRule="auto"/>
        <w:rPr>
          <w:kern w:val="0"/>
          <w14:ligatures w14:val="none"/>
        </w:rPr>
      </w:pPr>
      <w:r w:rsidRPr="00DA0356">
        <w:rPr>
          <w:kern w:val="0"/>
          <w14:ligatures w14:val="none"/>
        </w:rPr>
        <w:t xml:space="preserve">W niniejszym rozdziale, jako podsumowanie przeprowadzonej diagnozy stanu obecnego rozwoju obszaru LSR, przedstawiono wyniki w postaci analizy SWOT wskazując mocne i słabe strony obszaru działania LGD oraz szanse i zagrożenia dla jego rozwoju w przyszłości. Analizę oparto o wyniki analizy danych statystycznych, wyniki badań ankietowych przeprowadzonych wśród mieszkańców oraz spotkań konsultacyjnych ze społecznością lokalną. </w:t>
      </w:r>
    </w:p>
    <w:p w:rsidR="00DA0356" w:rsidRPr="00DA0356" w:rsidRDefault="00DA0356" w:rsidP="00DA0356">
      <w:pPr>
        <w:spacing w:before="120" w:after="0" w:line="276" w:lineRule="auto"/>
        <w:rPr>
          <w:kern w:val="0"/>
          <w14:ligatures w14:val="none"/>
        </w:rPr>
        <w:sectPr w:rsidR="00DA0356" w:rsidRPr="00DA0356" w:rsidSect="00763711">
          <w:headerReference w:type="default" r:id="rId7"/>
          <w:pgSz w:w="11906" w:h="16838"/>
          <w:pgMar w:top="1134" w:right="851" w:bottom="1134" w:left="851" w:header="709" w:footer="709" w:gutter="0"/>
          <w:cols w:space="708"/>
          <w:titlePg/>
          <w:docGrid w:linePitch="360"/>
        </w:sectPr>
      </w:pPr>
      <w:r w:rsidRPr="00DA0356">
        <w:rPr>
          <w:kern w:val="0"/>
          <w:lang w:eastAsia="pl-PL"/>
          <w14:ligatures w14:val="none"/>
        </w:rPr>
        <w:t>Przeprowadzona analiza SWOT jednoznacznie wskazuje, że obszar LSR charakteryzuje się spójnością uwarunkowań społecznych, gospodarczych, środowiskowo-kulturowych i przestrzenno-funkcjonalnych.</w:t>
      </w:r>
      <w:r w:rsidRPr="00DA0356">
        <w:rPr>
          <w:kern w:val="0"/>
          <w14:ligatures w14:val="none"/>
        </w:rPr>
        <w:t xml:space="preserve"> </w:t>
      </w:r>
      <w:r w:rsidRPr="00DA0356">
        <w:rPr>
          <w:kern w:val="0"/>
          <w:lang w:eastAsia="pl-PL"/>
          <w14:ligatures w14:val="none"/>
        </w:rPr>
        <w:t>Propozycje do analizy SWOT poddane zostały konsultacjom z członkami stowarzyszani za pośrednictwem ankiety badania kwestionariuszowego CAWI</w:t>
      </w:r>
      <w:r w:rsidRPr="00DA0356">
        <w:rPr>
          <w:rFonts w:cs="Times New Roman"/>
          <w:kern w:val="0"/>
          <w:vertAlign w:val="superscript"/>
          <w14:ligatures w14:val="none"/>
        </w:rPr>
        <w:footnoteReference w:id="1"/>
      </w:r>
      <w:r w:rsidRPr="00DA0356">
        <w:rPr>
          <w:kern w:val="0"/>
          <w:lang w:eastAsia="pl-PL"/>
          <w14:ligatures w14:val="none"/>
        </w:rPr>
        <w:t xml:space="preserve">. Tak uporządkowana analiza obszaru LSR stanowi podstawę sformułowania celów i priorytetów rozwoju, które z kolei powinny być zinstrumentalizowane w postaci wiązki celów strategicznych. </w:t>
      </w:r>
      <w:r w:rsidRPr="00DA0356">
        <w:rPr>
          <w:kern w:val="0"/>
          <w14:ligatures w14:val="none"/>
        </w:rPr>
        <w:t>Otrzymane w ten sposób informacje stanowią podstawę do dalszych prac nad przygotowywaniem lokalnej strategii rozwoju i wyznaczaniem celów i kierunków rozwoju Partnerstwa Drawy z Liderem Wałeckim na przyszłość.</w:t>
      </w:r>
    </w:p>
    <w:p w:rsidR="00DA0356" w:rsidRPr="00DA0356" w:rsidRDefault="00DA0356" w:rsidP="00DA0356">
      <w:pPr>
        <w:suppressAutoHyphens/>
        <w:autoSpaceDN w:val="0"/>
        <w:spacing w:before="120" w:after="120" w:line="240" w:lineRule="auto"/>
        <w:textAlignment w:val="baseline"/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</w:pPr>
      <w:r w:rsidRPr="00DA0356"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  <w:lastRenderedPageBreak/>
        <w:t xml:space="preserve">Tabela </w:t>
      </w:r>
      <w:r w:rsidRPr="00DA0356"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  <w:fldChar w:fldCharType="begin"/>
      </w:r>
      <w:r w:rsidRPr="00DA0356"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  <w:instrText xml:space="preserve"> SEQ Tabela \* ARABIC </w:instrText>
      </w:r>
      <w:r w:rsidRPr="00DA0356"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  <w:fldChar w:fldCharType="separate"/>
      </w:r>
      <w:r w:rsidRPr="00DA0356">
        <w:rPr>
          <w:rFonts w:eastAsia="Calibri" w:cstheme="minorHAnsi"/>
          <w:b/>
          <w:bCs/>
          <w:noProof/>
          <w:kern w:val="0"/>
          <w:sz w:val="20"/>
          <w:szCs w:val="20"/>
          <w:lang w:eastAsia="pl-PL"/>
          <w14:ligatures w14:val="none"/>
        </w:rPr>
        <w:t>13</w:t>
      </w:r>
      <w:r w:rsidRPr="00DA0356">
        <w:rPr>
          <w:rFonts w:eastAsia="Calibri" w:cstheme="minorHAnsi"/>
          <w:b/>
          <w:bCs/>
          <w:noProof/>
          <w:kern w:val="0"/>
          <w:sz w:val="20"/>
          <w:szCs w:val="20"/>
          <w:lang w:eastAsia="pl-PL"/>
          <w14:ligatures w14:val="none"/>
        </w:rPr>
        <w:fldChar w:fldCharType="end"/>
      </w:r>
      <w:r w:rsidRPr="00DA0356"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. Analiza problemów i potencjałów obszaru LSR (analiza SWOT) </w:t>
      </w:r>
    </w:p>
    <w:tbl>
      <w:tblPr>
        <w:tblW w:w="56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4824"/>
        <w:gridCol w:w="1693"/>
        <w:gridCol w:w="917"/>
        <w:gridCol w:w="697"/>
        <w:gridCol w:w="4131"/>
        <w:gridCol w:w="1781"/>
        <w:gridCol w:w="968"/>
      </w:tblGrid>
      <w:tr w:rsidR="00DA0356" w:rsidRPr="00DA0356" w:rsidTr="00841C76">
        <w:trPr>
          <w:jc w:val="center"/>
        </w:trPr>
        <w:tc>
          <w:tcPr>
            <w:tcW w:w="222" w:type="pct"/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bookmarkStart w:id="1" w:name="_Hlk131677086"/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1535" w:type="pct"/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MOCNE STRONY</w:t>
            </w:r>
          </w:p>
        </w:tc>
        <w:tc>
          <w:tcPr>
            <w:tcW w:w="539" w:type="pct"/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ODNIESIENIE DO DIAGNOZY</w:t>
            </w:r>
          </w:p>
        </w:tc>
        <w:tc>
          <w:tcPr>
            <w:tcW w:w="292" w:type="pct"/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WAGA</w:t>
            </w:r>
          </w:p>
        </w:tc>
        <w:tc>
          <w:tcPr>
            <w:tcW w:w="222" w:type="pct"/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1315" w:type="pct"/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SŁABE STRONY</w:t>
            </w:r>
          </w:p>
        </w:tc>
        <w:tc>
          <w:tcPr>
            <w:tcW w:w="567" w:type="pct"/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ODNIESIENIE DO DIAGNOZY</w:t>
            </w:r>
          </w:p>
        </w:tc>
        <w:tc>
          <w:tcPr>
            <w:tcW w:w="308" w:type="pct"/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WAGA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M1</w:t>
            </w:r>
          </w:p>
        </w:tc>
        <w:tc>
          <w:tcPr>
            <w:tcW w:w="1535" w:type="pct"/>
            <w:shd w:val="clear" w:color="auto" w:fill="C5E0B3" w:themeFill="accent6" w:themeFillTint="66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bookmarkStart w:id="2" w:name="_Hlk131671364"/>
            <w:r w:rsidRPr="00DA0356">
              <w:rPr>
                <w:kern w:val="0"/>
                <w:sz w:val="20"/>
                <w:szCs w:val="20"/>
                <w14:ligatures w14:val="none"/>
              </w:rPr>
              <w:t>Rzeki posiadające potencjał turystyczny (Drawa, Piława)</w:t>
            </w:r>
          </w:p>
        </w:tc>
        <w:tc>
          <w:tcPr>
            <w:tcW w:w="539" w:type="pct"/>
            <w:shd w:val="clear" w:color="auto" w:fill="C5E0B3" w:themeFill="accent6" w:themeFillTint="66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bookmarkStart w:id="3" w:name="_Hlk129359044"/>
            <w:r w:rsidRPr="00DA0356">
              <w:rPr>
                <w:kern w:val="0"/>
                <w:sz w:val="20"/>
                <w:szCs w:val="20"/>
                <w14:ligatures w14:val="none"/>
              </w:rPr>
              <w:t>Uwarunkowania środowiskowo-kulturowe</w:t>
            </w:r>
            <w:bookmarkEnd w:id="3"/>
          </w:p>
        </w:tc>
        <w:tc>
          <w:tcPr>
            <w:tcW w:w="292" w:type="pct"/>
            <w:shd w:val="clear" w:color="auto" w:fill="C5E0B3" w:themeFill="accent6" w:themeFillTint="66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8,7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S1</w:t>
            </w:r>
          </w:p>
        </w:tc>
        <w:tc>
          <w:tcPr>
            <w:tcW w:w="1315" w:type="pct"/>
            <w:shd w:val="clear" w:color="auto" w:fill="F7CAAC" w:themeFill="accent2" w:themeFillTint="66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Depopulacja, połączona ze starzeniem się mieszkańców obszaru LSR obrazowana wysokim poziomem wskaźnika udziału liczby osób w wieku nieprodukcyjnym w ogólnej liczbie mieszkańców oraz duża liczba mieszkańców zagrożonych ubóstwem lub wykluczeniem społecznym</w:t>
            </w:r>
          </w:p>
        </w:tc>
        <w:tc>
          <w:tcPr>
            <w:tcW w:w="567" w:type="pct"/>
            <w:shd w:val="clear" w:color="auto" w:fill="F7CAAC" w:themeFill="accent2" w:themeFillTint="66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społeczne </w:t>
            </w:r>
          </w:p>
        </w:tc>
        <w:tc>
          <w:tcPr>
            <w:tcW w:w="308" w:type="pct"/>
            <w:shd w:val="clear" w:color="auto" w:fill="F7CAAC" w:themeFill="accent2" w:themeFillTint="66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14,4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M2</w:t>
            </w:r>
          </w:p>
        </w:tc>
        <w:tc>
          <w:tcPr>
            <w:tcW w:w="1535" w:type="pct"/>
            <w:shd w:val="clear" w:color="auto" w:fill="E2EFD9" w:themeFill="accent6" w:themeFillTint="33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Duże walory przyrodnicze i środowiskowe (lasy, jeziora, rzeki, dobra jakość wód i powietrza) i objęcie różnymi formami ochrony przyrody i krajobrazu (Drawski Park Krajobrazowy)</w:t>
            </w:r>
          </w:p>
        </w:tc>
        <w:tc>
          <w:tcPr>
            <w:tcW w:w="539" w:type="pct"/>
            <w:shd w:val="clear" w:color="auto" w:fill="E2EFD9" w:themeFill="accent6" w:themeFillTint="33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środowiskowo-kulturowe</w:t>
            </w:r>
          </w:p>
        </w:tc>
        <w:tc>
          <w:tcPr>
            <w:tcW w:w="292" w:type="pct"/>
            <w:shd w:val="clear" w:color="auto" w:fill="E2EFD9" w:themeFill="accent6" w:themeFillTint="33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8,0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S2</w:t>
            </w:r>
          </w:p>
        </w:tc>
        <w:tc>
          <w:tcPr>
            <w:tcW w:w="1315" w:type="pct"/>
            <w:shd w:val="clear" w:color="auto" w:fill="FBE4D5" w:themeFill="accent2" w:themeFillTint="33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bookmarkStart w:id="4" w:name="_Hlk129359625"/>
            <w:r w:rsidRPr="00DA0356">
              <w:rPr>
                <w:kern w:val="0"/>
                <w:sz w:val="20"/>
                <w:szCs w:val="20"/>
                <w14:ligatures w14:val="none"/>
              </w:rPr>
              <w:t>Mała atrakcyjność osiedleńcza obszaru LSR</w:t>
            </w:r>
            <w:bookmarkEnd w:id="4"/>
          </w:p>
        </w:tc>
        <w:tc>
          <w:tcPr>
            <w:tcW w:w="567" w:type="pct"/>
            <w:shd w:val="clear" w:color="auto" w:fill="FBE4D5" w:themeFill="accent2" w:themeFillTint="33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8" w:type="pct"/>
            <w:shd w:val="clear" w:color="auto" w:fill="FBE4D5" w:themeFill="accent2" w:themeFillTint="33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12,7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M3</w:t>
            </w:r>
          </w:p>
        </w:tc>
        <w:tc>
          <w:tcPr>
            <w:tcW w:w="1535" w:type="pct"/>
            <w:shd w:val="clear" w:color="auto" w:fill="F4F9F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Wzrost liczby liderów lokalnych i coraz sprawniejszych organizacji pozarządowych</w:t>
            </w:r>
          </w:p>
        </w:tc>
        <w:tc>
          <w:tcPr>
            <w:tcW w:w="539" w:type="pct"/>
            <w:shd w:val="clear" w:color="auto" w:fill="F4F9F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292" w:type="pct"/>
            <w:shd w:val="clear" w:color="auto" w:fill="F4F9F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7,0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S3</w:t>
            </w:r>
          </w:p>
        </w:tc>
        <w:tc>
          <w:tcPr>
            <w:tcW w:w="1315" w:type="pct"/>
            <w:shd w:val="clear" w:color="auto" w:fill="FEF6F0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Mało atrakcyjny rynek pracy połączony z niedostosowaniem oferty edukacyjnej do potrzeb rynku pracy; ograniczona dostępność podmiotów reintegracji (CIS, KIS, ZAZ, WTZ)</w:t>
            </w:r>
          </w:p>
        </w:tc>
        <w:tc>
          <w:tcPr>
            <w:tcW w:w="567" w:type="pct"/>
            <w:shd w:val="clear" w:color="auto" w:fill="FEF6F0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społeczne </w:t>
            </w:r>
          </w:p>
        </w:tc>
        <w:tc>
          <w:tcPr>
            <w:tcW w:w="308" w:type="pct"/>
            <w:shd w:val="clear" w:color="auto" w:fill="FEF6F0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12,6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M4</w:t>
            </w:r>
          </w:p>
        </w:tc>
        <w:tc>
          <w:tcPr>
            <w:tcW w:w="1535" w:type="pct"/>
            <w:shd w:val="clear" w:color="auto" w:fill="F4F9F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Zmniejszająca się liczba gospodarstw domowych znajdujących się w trudnej sytuacji życiowej, wymagających wsparcia</w:t>
            </w:r>
          </w:p>
        </w:tc>
        <w:tc>
          <w:tcPr>
            <w:tcW w:w="539" w:type="pct"/>
            <w:shd w:val="clear" w:color="auto" w:fill="F4F9F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292" w:type="pct"/>
            <w:shd w:val="clear" w:color="auto" w:fill="F4F9F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6,8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S4</w:t>
            </w:r>
          </w:p>
        </w:tc>
        <w:tc>
          <w:tcPr>
            <w:tcW w:w="1315" w:type="pct"/>
            <w:shd w:val="clear" w:color="auto" w:fill="FEF6F0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Zróżnicowany i niewykorzystany potencjał NGO połączony z brakiem aktywności mieszkańców i aktywizacji społecznej znajdujących się w trudnej sytuacji społecznej</w:t>
            </w:r>
          </w:p>
        </w:tc>
        <w:tc>
          <w:tcPr>
            <w:tcW w:w="567" w:type="pct"/>
            <w:shd w:val="clear" w:color="auto" w:fill="FEF6F0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8" w:type="pct"/>
            <w:shd w:val="clear" w:color="auto" w:fill="FEF6F0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10,9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M5</w:t>
            </w:r>
          </w:p>
        </w:tc>
        <w:tc>
          <w:tcPr>
            <w:tcW w:w="153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Poligon drawski - Centrum Szkolenia Wojsk Lądowych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gospodarcze</w:t>
            </w:r>
          </w:p>
        </w:tc>
        <w:tc>
          <w:tcPr>
            <w:tcW w:w="29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6,5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S5</w:t>
            </w:r>
          </w:p>
        </w:tc>
        <w:tc>
          <w:tcPr>
            <w:tcW w:w="1315" w:type="pct"/>
            <w:shd w:val="clear" w:color="auto" w:fill="FEF6F0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Ujemne saldo migracji, co oznacza, że więcej osób w tej grupie wiekowej opuszcza obszar, niż do niego przyjeżdża</w:t>
            </w:r>
          </w:p>
        </w:tc>
        <w:tc>
          <w:tcPr>
            <w:tcW w:w="567" w:type="pct"/>
            <w:shd w:val="clear" w:color="auto" w:fill="FEF6F0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8" w:type="pct"/>
            <w:shd w:val="clear" w:color="auto" w:fill="FEF6F0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10,0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M6</w:t>
            </w:r>
          </w:p>
        </w:tc>
        <w:tc>
          <w:tcPr>
            <w:tcW w:w="153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Liczne lokalne produkty bazujące na zasobach naturalnych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gospodarcze</w:t>
            </w:r>
          </w:p>
        </w:tc>
        <w:tc>
          <w:tcPr>
            <w:tcW w:w="29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6,3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S6</w:t>
            </w: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bookmarkStart w:id="5" w:name="_Hlk129356558"/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Jeden z najniższych w kraju wskaźników gęstości zaludnienia, na co mają wpływ duże, niezamieszkałe obszary lasów i jezior w południowej i południowo-wschodniej części obszaru, poligonów wojskowych (gmina Kalisz Pomorski) </w:t>
            </w:r>
            <w:bookmarkEnd w:id="5"/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oraz co niesie negatywne </w:t>
            </w:r>
            <w:r w:rsidRPr="00DA0356">
              <w:rPr>
                <w:kern w:val="0"/>
                <w:sz w:val="20"/>
                <w:szCs w:val="20"/>
                <w14:ligatures w14:val="none"/>
              </w:rPr>
              <w:lastRenderedPageBreak/>
              <w:t>konsekwencje w zakresie niedoboru infrastruktury odnoszącej się do potrzeb mieszkańców, szczególnie w obszarze kultury i rekreacji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lastRenderedPageBreak/>
              <w:t>Uwarunkowania społeczne</w:t>
            </w: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10,0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M7</w:t>
            </w:r>
          </w:p>
        </w:tc>
        <w:tc>
          <w:tcPr>
            <w:tcW w:w="153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Specyficzne produkty lokalne: Muzeum Walk o Wał Pomorski w Mirosławcu, Muzeum Regionalne Magazyn Solny w Drawsku Pomorskim, oraz Muzeum PGR w </w:t>
            </w:r>
            <w:proofErr w:type="spellStart"/>
            <w:r w:rsidRPr="00DA0356">
              <w:rPr>
                <w:kern w:val="0"/>
                <w:sz w:val="20"/>
                <w:szCs w:val="20"/>
                <w14:ligatures w14:val="none"/>
              </w:rPr>
              <w:t>Bolegorzynie</w:t>
            </w:r>
            <w:proofErr w:type="spellEnd"/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gospodarcze</w:t>
            </w:r>
          </w:p>
        </w:tc>
        <w:tc>
          <w:tcPr>
            <w:tcW w:w="29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6,1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S7</w:t>
            </w: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Niski poziom innowacyjności przedsiębiorców polegający gównie na powielaniu istniejących rozwiązań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gospodarcze</w:t>
            </w: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9,0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M8</w:t>
            </w:r>
          </w:p>
        </w:tc>
        <w:tc>
          <w:tcPr>
            <w:tcW w:w="153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Rozpoznawalność obszaru jako związanego z wojskiem i turystyka wodną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środowiskowo-kulturowe</w:t>
            </w:r>
          </w:p>
        </w:tc>
        <w:tc>
          <w:tcPr>
            <w:tcW w:w="29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6,1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S8</w:t>
            </w: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Niedostatek nowoczesnych miejsc noclegowych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gospodarcze</w:t>
            </w: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8,0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M9</w:t>
            </w:r>
          </w:p>
        </w:tc>
        <w:tc>
          <w:tcPr>
            <w:tcW w:w="153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Specyficzne produkty lokalne: zagroda edukacyjna w Jabłonowie pokazująca ochronę gatunkową żubrów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gospodarcze </w:t>
            </w:r>
          </w:p>
        </w:tc>
        <w:tc>
          <w:tcPr>
            <w:tcW w:w="29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6,0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S9</w:t>
            </w: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Apatia i utrwalone negatywne wzorce </w:t>
            </w:r>
            <w:proofErr w:type="spellStart"/>
            <w:r w:rsidRPr="00DA0356">
              <w:rPr>
                <w:kern w:val="0"/>
                <w:sz w:val="20"/>
                <w:szCs w:val="20"/>
                <w14:ligatures w14:val="none"/>
              </w:rPr>
              <w:t>zachowań</w:t>
            </w:r>
            <w:proofErr w:type="spellEnd"/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 w społecznościach popegeerowskich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6,8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M10</w:t>
            </w:r>
          </w:p>
        </w:tc>
        <w:tc>
          <w:tcPr>
            <w:tcW w:w="153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bookmarkStart w:id="6" w:name="_Hlk129341494"/>
            <w:r w:rsidRPr="00DA0356">
              <w:rPr>
                <w:kern w:val="0"/>
                <w:sz w:val="20"/>
                <w:szCs w:val="20"/>
                <w14:ligatures w14:val="none"/>
              </w:rPr>
              <w:t>Specyficzne produkty lokalne:  zabytki specyficzne dla obszaru Pałac w Siemczynie, ruiny zamku w Drawnie, Zamek Wedlów w Tucznie, Młyn nad Starą Regą, Pałac Cieszyno i liczne zabytki sakralne, budownictwo szachulcowe</w:t>
            </w:r>
            <w:bookmarkEnd w:id="6"/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środowiskowo-kulturalne  </w:t>
            </w:r>
          </w:p>
        </w:tc>
        <w:tc>
          <w:tcPr>
            <w:tcW w:w="29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5,7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S10</w:t>
            </w: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Niedostosowane do potrzeb pracodawców kwalifikacje i kompetencje osób nieaktywnych zawodowo i bezrobotnych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gospodarcze</w:t>
            </w: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6,5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M11</w:t>
            </w:r>
          </w:p>
        </w:tc>
        <w:tc>
          <w:tcPr>
            <w:tcW w:w="153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Zakład karny w Wierzchowie jako zakład pracy dający zatrudnienie dla mieszkańców i osadzonych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gospodarcze </w:t>
            </w:r>
          </w:p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5,3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S11</w:t>
            </w: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Słaba dostępność do głównych miast województwa: Szczecina i Koszalina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przestrzenno-funkcjonalne</w:t>
            </w: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6,5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M12</w:t>
            </w:r>
          </w:p>
        </w:tc>
        <w:tc>
          <w:tcPr>
            <w:tcW w:w="153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Fabryka czekolady w Tucznie jako miejsce pracy dla mieszkańców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gospodarcze</w:t>
            </w:r>
          </w:p>
        </w:tc>
        <w:tc>
          <w:tcPr>
            <w:tcW w:w="29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4,9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S12</w:t>
            </w: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Wysoka liczba osób korzystających z pomocy społecznej wyrażona w negatywnym poziomie wskaźnika deprywacji lokalnej oraz problem dziedzicznej nieudolność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6,1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M13</w:t>
            </w:r>
          </w:p>
        </w:tc>
        <w:tc>
          <w:tcPr>
            <w:tcW w:w="153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16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Droga krajowa nr 10 i 20 jako praktycznie główne źródło komunikacji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przestrzenno-funkcjonalne   </w:t>
            </w:r>
          </w:p>
        </w:tc>
        <w:tc>
          <w:tcPr>
            <w:tcW w:w="29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4,8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S13</w:t>
            </w: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Przeważająca liczba gospodarstw niskotowarowych stojących przed problemami strukturalnym w rolnictwie oraz niedostateczny rozwój przetwórstwa rolno-spożywczego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gospodarcze</w:t>
            </w: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0"/>
              </w:tabs>
              <w:spacing w:line="240" w:lineRule="auto"/>
              <w:ind w:left="11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5,2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S14</w:t>
            </w: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Braki infrastruktury w świetlicach wiejskich (brak Internetu w niektórych obiektach publicznych) i niedostępność szerokopasmowego </w:t>
            </w:r>
            <w:proofErr w:type="spellStart"/>
            <w:r w:rsidRPr="00DA0356">
              <w:rPr>
                <w:kern w:val="0"/>
                <w:sz w:val="20"/>
                <w:szCs w:val="20"/>
                <w14:ligatures w14:val="none"/>
              </w:rPr>
              <w:t>internetu</w:t>
            </w:r>
            <w:proofErr w:type="spellEnd"/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 na wsi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hanging="8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przestrzenno-funkcjonalne</w:t>
            </w: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3,4</w:t>
            </w:r>
          </w:p>
        </w:tc>
      </w:tr>
      <w:tr w:rsidR="00DA0356" w:rsidRPr="00DA0356" w:rsidTr="00841C76">
        <w:trPr>
          <w:jc w:val="center"/>
        </w:trPr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left="316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S15</w:t>
            </w: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5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Niewystarczający poziom usług społecznych (edukacja zawodowa, włączenie społeczne)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ind w:hanging="8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4"/>
              </w:tabs>
              <w:spacing w:line="240" w:lineRule="auto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2,6</w:t>
            </w:r>
          </w:p>
        </w:tc>
      </w:tr>
      <w:bookmarkEnd w:id="2"/>
    </w:tbl>
    <w:p w:rsidR="00DA0356" w:rsidRPr="00DA0356" w:rsidRDefault="00DA0356" w:rsidP="00DA0356">
      <w:pPr>
        <w:spacing w:before="120" w:after="0" w:line="264" w:lineRule="auto"/>
        <w:rPr>
          <w:kern w:val="0"/>
          <w:sz w:val="10"/>
          <w:szCs w:val="10"/>
          <w:lang w:eastAsia="pl-PL"/>
          <w14:ligatures w14:val="none"/>
        </w:rPr>
      </w:pPr>
    </w:p>
    <w:tbl>
      <w:tblPr>
        <w:tblW w:w="56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4744"/>
        <w:gridCol w:w="1717"/>
        <w:gridCol w:w="996"/>
        <w:gridCol w:w="680"/>
        <w:gridCol w:w="4042"/>
        <w:gridCol w:w="1842"/>
        <w:gridCol w:w="953"/>
      </w:tblGrid>
      <w:tr w:rsidR="00DA0356" w:rsidRPr="00DA0356" w:rsidTr="00841C76">
        <w:trPr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SZANSE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ODNIESIENIE DO DIAGNOZY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WAGA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ZAGROŻENIA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ODNIESIENIE DO DIAGNOZY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bCs/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bCs/>
                <w:kern w:val="0"/>
                <w:sz w:val="20"/>
                <w:szCs w:val="20"/>
                <w14:ligatures w14:val="none"/>
              </w:rPr>
              <w:t>WAGA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SZ1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bookmarkStart w:id="7" w:name="_Hlk129625954"/>
            <w:r w:rsidRPr="00DA0356">
              <w:rPr>
                <w:kern w:val="0"/>
                <w:sz w:val="20"/>
                <w:szCs w:val="20"/>
                <w14:ligatures w14:val="none"/>
              </w:rPr>
              <w:t>Dalszy rozwój 12 bazy szereg inwestycji drogowych i kolejowych z uwagi na inwestycje wojskowe i dalsza rozbudowa infrastruktury wojskowej stworzenie ofert dla wojska (gastronomia otwarta w niedziele, rekreacja, usługi transportowe)</w:t>
            </w:r>
            <w:bookmarkEnd w:id="7"/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ind w:left="72" w:hanging="36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gospodarcze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Z1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Dalszy odpływ ludności w celach zarobkowych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12,1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SZ2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Wzrost znaczenia turystyki kwalifikowanej (turystyka przyrodnicza)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CF3FA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ind w:left="72" w:hanging="36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środowiskowo-kulturowe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5,7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Z2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Dalszy wzrost cen materiałów i usług (inflacja)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gospodarcze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10,1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SZ3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3FA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bookmarkStart w:id="8" w:name="_Hlk131667304"/>
            <w:r w:rsidRPr="00DA0356">
              <w:rPr>
                <w:kern w:val="0"/>
                <w:sz w:val="20"/>
                <w:szCs w:val="20"/>
                <w14:ligatures w14:val="none"/>
              </w:rPr>
              <w:t>Możliwości pozyskania dodatkowych środków EFS+ z przeznaczeniem w szczególności na wsparcie aktywizacyjne na rzecz rodzin, społeczności i osób zagrożonych ubóstwem lub wykluczeniem społecznym oraz ich otoczenia, a także osób biernych zawodowo poprzez usługi integracji oraz środków dla pracodawców w celu tworzenia ułatwień dla zatrudniania osób zagrożonych ubóstwem lub wykluczeniem społecznym oraz osób biernych zawodowo</w:t>
            </w:r>
            <w:bookmarkEnd w:id="8"/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CF3FA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ind w:left="72" w:hanging="20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społeczne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CF3FA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5,5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Z3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BEF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Konkurencja dla rozwoju turystyki za strony terenów nadmorskich Pomorza zachodniego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BEF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gospodarcze 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BEF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9,4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SZ4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bookmarkStart w:id="9" w:name="_Hlk129625995"/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Zmiana modelu życia i popularyzacja </w:t>
            </w:r>
            <w:proofErr w:type="spellStart"/>
            <w:r w:rsidRPr="00DA0356">
              <w:rPr>
                <w:kern w:val="0"/>
                <w:sz w:val="20"/>
                <w:szCs w:val="20"/>
                <w14:ligatures w14:val="none"/>
              </w:rPr>
              <w:t>slow</w:t>
            </w:r>
            <w:proofErr w:type="spellEnd"/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 food oraz </w:t>
            </w:r>
            <w:proofErr w:type="spellStart"/>
            <w:r w:rsidRPr="00DA0356">
              <w:rPr>
                <w:kern w:val="0"/>
                <w:sz w:val="20"/>
                <w:szCs w:val="20"/>
                <w14:ligatures w14:val="none"/>
              </w:rPr>
              <w:t>slow</w:t>
            </w:r>
            <w:proofErr w:type="spellEnd"/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DA0356">
              <w:rPr>
                <w:kern w:val="0"/>
                <w:sz w:val="20"/>
                <w:szCs w:val="20"/>
                <w14:ligatures w14:val="none"/>
              </w:rPr>
              <w:t>turism</w:t>
            </w:r>
            <w:proofErr w:type="spellEnd"/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  </w:t>
            </w:r>
            <w:bookmarkEnd w:id="9"/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ind w:left="72" w:hanging="20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gospodarcze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5,4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Z4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BEF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Drenaż kapitału ludzkiego przez zagranicę i bardziej konkurencyjne miasta i gminy w Polsce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BEF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BEF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8,5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lastRenderedPageBreak/>
              <w:t>SZ5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Regionalne Szlaki rowerowe sławiące potencjał rozwoju turystyki rowerowej (trasy priorytetowe: Stary Kolejowy Szlak i Trasa Pojezierzy Zielonych, Korytarze tras głównych Wału Pomorskiego)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ind w:left="72" w:hanging="20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środowiskowo-kulturowe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5,2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Z5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Starzenie się społeczeństwa znacząco wpływająca na rozwój niektórych rodzajów usług dla tej części społeczeństwa (np. usługi opiekuńcze i zdrowotne)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społeczne 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8,7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SZ6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Pozyskanie środków dotacyjnych na stworzenie unikalnej dla tego regionu oferty kulturalnej (wioski tematyczne: wikliniarstwo, rękodzieło artystyczne)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ind w:left="72" w:hanging="20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środowiskowo-kulturowe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4,3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Z6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Migracja ludzi młodych, tj. w wieku produkcyjnym mobilnym i związany z tym odpływ populacji w wieku 0-14 lat oraz wzrost liczby osób w wieku poprodukcyjnym, w szczególności w wieku 65+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7,9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SZ7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Cykliczne wydarzenia rozpoznawalne na skalę ponadlokalną: Dni Drawy (Bieg Wilczym Tropem), Festiwal Ogórka w Kaliszu, wyścigi terenowe na terenie poligonu drawskiego Baja Poland)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ind w:left="72" w:hanging="20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środowiskowo-kulturowe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3,3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Z7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Postępująca polityka socjalna, w tym program Rodzina 500+ pogłębiające </w:t>
            </w:r>
            <w:proofErr w:type="spellStart"/>
            <w:r w:rsidRPr="00DA0356">
              <w:rPr>
                <w:kern w:val="0"/>
                <w:sz w:val="20"/>
                <w:szCs w:val="20"/>
                <w14:ligatures w14:val="none"/>
              </w:rPr>
              <w:t>klientelyzm</w:t>
            </w:r>
            <w:proofErr w:type="spellEnd"/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 społeczny, brak chęci do podejmowania zatrudnienia, co ogranicza grupę mieszkańców zainteresowanych uczestnictwem w projektach społecznych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społeczne 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7,4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SZ8 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Know-how lokalnej grupy działania i rosnąca rozpoznawalność LGD jako partnera w różnego rodzaju projektach pomocowych i partnerskich 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ind w:left="72" w:hanging="20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przestrzenno-funkcjonalne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2,7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Z8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52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Kurczenie się populacji powodujące wyższe jednostkowe koszty utrzymania infrastruktury – zarówno zasobów prywatnych, jak i komunalnych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6,5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SZ9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Konieczność transformacji gospodarki na przyjazną środowisku oraz opartą na wiedzy (GOW)</w:t>
            </w:r>
          </w:p>
        </w:tc>
        <w:tc>
          <w:tcPr>
            <w:tcW w:w="54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ind w:hanging="20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przestrzenno-funkcjonalne </w:t>
            </w:r>
          </w:p>
        </w:tc>
        <w:tc>
          <w:tcPr>
            <w:tcW w:w="31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2,6</w:t>
            </w:r>
          </w:p>
        </w:tc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Z9</w:t>
            </w:r>
          </w:p>
        </w:tc>
        <w:tc>
          <w:tcPr>
            <w:tcW w:w="12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Wzrost zjawiska ubóstwa ekonomicznego w społeczeństwie pauperyzacja osób i rodzin, co prowadzi do ich wykluczenia społecznego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5,4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SZ10</w:t>
            </w:r>
          </w:p>
        </w:tc>
        <w:tc>
          <w:tcPr>
            <w:tcW w:w="1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Możliwość pozyskania dodatkowych środków pomocowych w perspektywie 2021-2027 w ramach instrumentów terytorialnych ZIT (Partnerstwo </w:t>
            </w:r>
          </w:p>
        </w:tc>
        <w:tc>
          <w:tcPr>
            <w:tcW w:w="5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59"/>
              </w:tabs>
              <w:spacing w:line="240" w:lineRule="auto"/>
              <w:ind w:firstLine="36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przestrzenno-funkcjonalne</w:t>
            </w:r>
          </w:p>
        </w:tc>
        <w:tc>
          <w:tcPr>
            <w:tcW w:w="3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2,6</w:t>
            </w:r>
          </w:p>
        </w:tc>
        <w:tc>
          <w:tcPr>
            <w:tcW w:w="2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Z10</w:t>
            </w:r>
          </w:p>
        </w:tc>
        <w:tc>
          <w:tcPr>
            <w:tcW w:w="1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Nasilenie się procesu starzenia się społeczności lokalnych potwierdzone wysokim współczynnikiem obciążenia demograficznego, co stawia przed całym obszarem wyzwania w zakresie społecznym, gospodarczym, ale także medycznym, socjalnym i psychologicznym</w:t>
            </w: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36"/>
              </w:tabs>
              <w:spacing w:line="240" w:lineRule="auto"/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społeczne</w:t>
            </w:r>
          </w:p>
        </w:tc>
        <w:tc>
          <w:tcPr>
            <w:tcW w:w="3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210"/>
              </w:tabs>
              <w:spacing w:line="240" w:lineRule="auto"/>
              <w:ind w:left="319" w:hanging="283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4,4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8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8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59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Z11</w:t>
            </w:r>
          </w:p>
        </w:tc>
        <w:tc>
          <w:tcPr>
            <w:tcW w:w="12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Restrykcyjne formy ochrony środowiska obowiązujące na znacznej części obszaru zmniejszające jednak atrakcyjność inwestycyjną obszaru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Uwarunkowania środowiskowo-kulturowe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4,1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8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8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59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Z12</w:t>
            </w:r>
          </w:p>
        </w:tc>
        <w:tc>
          <w:tcPr>
            <w:tcW w:w="12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Zmniejszające się dochody JST skutkujące brakiem możliwości realizacji projektów inwestycyjnych (wkład własny do projektów dotacyjnych)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przestrzenno-funkcjonalne 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4,0</w:t>
            </w:r>
          </w:p>
        </w:tc>
      </w:tr>
      <w:tr w:rsidR="00DA0356" w:rsidRPr="00DA0356" w:rsidTr="00841C76">
        <w:trPr>
          <w:jc w:val="center"/>
        </w:trPr>
        <w:tc>
          <w:tcPr>
            <w:tcW w:w="22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8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bookmarkStart w:id="10" w:name="_Hlk131674991"/>
          </w:p>
        </w:tc>
        <w:tc>
          <w:tcPr>
            <w:tcW w:w="151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178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tabs>
                <w:tab w:val="left" w:pos="59"/>
              </w:tabs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7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Z13</w:t>
            </w:r>
          </w:p>
        </w:tc>
        <w:tc>
          <w:tcPr>
            <w:tcW w:w="129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bookmarkStart w:id="11" w:name="_Hlk129626372"/>
            <w:r w:rsidRPr="00DA0356">
              <w:rPr>
                <w:kern w:val="0"/>
                <w:sz w:val="20"/>
                <w:szCs w:val="20"/>
                <w14:ligatures w14:val="none"/>
              </w:rPr>
              <w:t>Jezioro Drawskie (spadek poziomu wody, kwitnienie)</w:t>
            </w:r>
            <w:bookmarkEnd w:id="11"/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 xml:space="preserve">Uwarunkowania środowiskowo-kulturowe 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0356" w:rsidRPr="00DA0356" w:rsidRDefault="00DA0356" w:rsidP="00DA0356">
            <w:pPr>
              <w:spacing w:line="240" w:lineRule="auto"/>
              <w:jc w:val="center"/>
              <w:rPr>
                <w:kern w:val="0"/>
                <w:sz w:val="20"/>
                <w:szCs w:val="20"/>
                <w14:ligatures w14:val="none"/>
              </w:rPr>
            </w:pPr>
            <w:r w:rsidRPr="00DA0356">
              <w:rPr>
                <w:kern w:val="0"/>
                <w:sz w:val="20"/>
                <w:szCs w:val="20"/>
                <w14:ligatures w14:val="none"/>
              </w:rPr>
              <w:t>1,9</w:t>
            </w:r>
          </w:p>
        </w:tc>
      </w:tr>
    </w:tbl>
    <w:bookmarkEnd w:id="1"/>
    <w:bookmarkEnd w:id="10"/>
    <w:p w:rsidR="00DA0356" w:rsidRPr="00DA0356" w:rsidRDefault="00DA0356" w:rsidP="00DA0356">
      <w:pPr>
        <w:spacing w:before="120" w:after="0" w:line="240" w:lineRule="auto"/>
        <w:rPr>
          <w:kern w:val="0"/>
          <w:sz w:val="20"/>
          <w:szCs w:val="20"/>
          <w14:ligatures w14:val="none"/>
        </w:rPr>
      </w:pPr>
      <w:r w:rsidRPr="00DA0356">
        <w:rPr>
          <w:kern w:val="0"/>
          <w:sz w:val="20"/>
          <w:szCs w:val="20"/>
          <w14:ligatures w14:val="none"/>
        </w:rPr>
        <w:t>Źródło: opracowanie własne</w:t>
      </w:r>
    </w:p>
    <w:p w:rsidR="00DA0356" w:rsidRPr="00DA0356" w:rsidRDefault="00DA0356" w:rsidP="00DA0356">
      <w:pPr>
        <w:suppressAutoHyphens/>
        <w:autoSpaceDN w:val="0"/>
        <w:spacing w:before="120" w:after="120" w:line="240" w:lineRule="auto"/>
        <w:textAlignment w:val="baseline"/>
        <w:rPr>
          <w:rFonts w:eastAsia="Calibri" w:cstheme="minorHAnsi"/>
          <w:b/>
          <w:bCs/>
          <w:color w:val="44546A" w:themeColor="text2"/>
          <w:kern w:val="0"/>
          <w:sz w:val="20"/>
          <w:szCs w:val="20"/>
          <w:lang w:eastAsia="pl-PL"/>
          <w14:ligatures w14:val="none"/>
        </w:rPr>
      </w:pPr>
    </w:p>
    <w:p w:rsidR="00DA0356" w:rsidRPr="00DA0356" w:rsidRDefault="00DA0356" w:rsidP="00DA0356">
      <w:pPr>
        <w:spacing w:before="120" w:after="0" w:line="264" w:lineRule="auto"/>
        <w:rPr>
          <w:kern w:val="0"/>
          <w:lang w:eastAsia="pl-PL"/>
          <w14:ligatures w14:val="none"/>
        </w:rPr>
        <w:sectPr w:rsidR="00DA0356" w:rsidRPr="00DA0356" w:rsidSect="00C142F6">
          <w:headerReference w:type="default" r:id="rId8"/>
          <w:footerReference w:type="default" r:id="rId9"/>
          <w:headerReference w:type="first" r:id="rId10"/>
          <w:pgSz w:w="16838" w:h="11906" w:orient="landscape"/>
          <w:pgMar w:top="1418" w:right="1418" w:bottom="1418" w:left="1565" w:header="709" w:footer="709" w:gutter="0"/>
          <w:cols w:space="708"/>
          <w:titlePg/>
          <w:docGrid w:linePitch="360"/>
        </w:sectPr>
      </w:pPr>
      <w:bookmarkStart w:id="12" w:name="_Hlk128577216"/>
      <w:bookmarkStart w:id="13" w:name="_Hlk128744652"/>
    </w:p>
    <w:p w:rsidR="00DA0356" w:rsidRPr="00DA0356" w:rsidRDefault="00DA0356" w:rsidP="00DA0356">
      <w:pPr>
        <w:spacing w:before="120" w:after="120" w:line="276" w:lineRule="auto"/>
        <w:rPr>
          <w:kern w:val="0"/>
          <w14:ligatures w14:val="none"/>
        </w:rPr>
      </w:pPr>
      <w:r w:rsidRPr="00DA0356">
        <w:rPr>
          <w:kern w:val="0"/>
          <w14:ligatures w14:val="none"/>
        </w:rPr>
        <w:lastRenderedPageBreak/>
        <w:t>Podstawą do sformułowania potrzeb obszaru LSR była diagnoza, w tym konsultacje społeczne oraz przygotowana na jej podstawie analiza SWOT. Na bazie tych materiałów strukturę logiczną lokalnej strategii rozwoju opracowano na podstawie „metody problemowej” analizując poszczególne problemy etapowo; w pierwszej kolejności dokonano identyfikacji podstawowych problemów dotykających mieszkańców obszaru LSR i jakości ich życia wynikających z braków w zidentyfikowanych zasobach. Zestawienie głównych obszarów problemowych wraz z wynikami analizy SWOT, z których te problemy wynikają przedstawiono w tabeli poniżej. Kolejnym krokiem było przeformułowanie głównych problemów na propozycje ich rozwiązania, czyli cele szczegółowe LSR.</w:t>
      </w:r>
    </w:p>
    <w:p w:rsidR="00DA0356" w:rsidRPr="00DA0356" w:rsidRDefault="00DA0356" w:rsidP="00DA0356">
      <w:pPr>
        <w:suppressAutoHyphens/>
        <w:autoSpaceDN w:val="0"/>
        <w:spacing w:before="120" w:after="120" w:line="240" w:lineRule="auto"/>
        <w:textAlignment w:val="baseline"/>
        <w:rPr>
          <w:rFonts w:eastAsia="Calibri" w:cstheme="minorHAnsi"/>
          <w:i/>
          <w:iCs/>
          <w:kern w:val="0"/>
          <w:sz w:val="20"/>
          <w:szCs w:val="20"/>
          <w:lang w:eastAsia="pl-PL"/>
          <w14:ligatures w14:val="none"/>
        </w:rPr>
      </w:pPr>
      <w:r w:rsidRPr="00DA0356"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Tabela </w:t>
      </w:r>
      <w:r w:rsidRPr="00DA0356">
        <w:rPr>
          <w:rFonts w:eastAsia="Calibri" w:cstheme="minorHAnsi"/>
          <w:i/>
          <w:iCs/>
          <w:kern w:val="0"/>
          <w:sz w:val="20"/>
          <w:szCs w:val="20"/>
          <w:lang w:eastAsia="pl-PL"/>
          <w14:ligatures w14:val="none"/>
        </w:rPr>
        <w:fldChar w:fldCharType="begin"/>
      </w:r>
      <w:r w:rsidRPr="00DA0356"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  <w:instrText xml:space="preserve"> SEQ Tabela \* ARABIC </w:instrText>
      </w:r>
      <w:r w:rsidRPr="00DA0356">
        <w:rPr>
          <w:rFonts w:eastAsia="Calibri" w:cstheme="minorHAnsi"/>
          <w:i/>
          <w:iCs/>
          <w:kern w:val="0"/>
          <w:sz w:val="20"/>
          <w:szCs w:val="20"/>
          <w:lang w:eastAsia="pl-PL"/>
          <w14:ligatures w14:val="none"/>
        </w:rPr>
        <w:fldChar w:fldCharType="separate"/>
      </w:r>
      <w:r w:rsidRPr="00DA0356">
        <w:rPr>
          <w:rFonts w:eastAsia="Calibri" w:cstheme="minorHAnsi"/>
          <w:b/>
          <w:bCs/>
          <w:noProof/>
          <w:kern w:val="0"/>
          <w:sz w:val="20"/>
          <w:szCs w:val="20"/>
          <w:lang w:eastAsia="pl-PL"/>
          <w14:ligatures w14:val="none"/>
        </w:rPr>
        <w:t>14</w:t>
      </w:r>
      <w:r w:rsidRPr="00DA0356">
        <w:rPr>
          <w:rFonts w:eastAsia="Calibri" w:cstheme="minorHAnsi"/>
          <w:i/>
          <w:iCs/>
          <w:kern w:val="0"/>
          <w:sz w:val="20"/>
          <w:szCs w:val="20"/>
          <w:lang w:eastAsia="pl-PL"/>
          <w14:ligatures w14:val="none"/>
        </w:rPr>
        <w:fldChar w:fldCharType="end"/>
      </w:r>
      <w:r w:rsidRPr="00DA0356"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 Zależność między wynikami analizy SWOT obszaru LSR a zidentyfikowanymi głównymi problemami</w:t>
      </w:r>
    </w:p>
    <w:tbl>
      <w:tblPr>
        <w:tblStyle w:val="Tabela-Siatka"/>
        <w:tblW w:w="8987" w:type="dxa"/>
        <w:tblLook w:val="04A0" w:firstRow="1" w:lastRow="0" w:firstColumn="1" w:lastColumn="0" w:noHBand="0" w:noVBand="1"/>
      </w:tblPr>
      <w:tblGrid>
        <w:gridCol w:w="1838"/>
        <w:gridCol w:w="4111"/>
        <w:gridCol w:w="3038"/>
      </w:tblGrid>
      <w:tr w:rsidR="00DA0356" w:rsidRPr="00DA0356" w:rsidTr="00841C76">
        <w:tc>
          <w:tcPr>
            <w:tcW w:w="1838" w:type="dxa"/>
            <w:shd w:val="clear" w:color="auto" w:fill="F2F2F2" w:themeFill="background1" w:themeFillShade="F2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Wymiar problemowy </w:t>
            </w:r>
          </w:p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2F2F2" w:themeFill="background1" w:themeFillShade="F2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Kluczowe wyzwania</w:t>
            </w:r>
          </w:p>
        </w:tc>
        <w:tc>
          <w:tcPr>
            <w:tcW w:w="3038" w:type="dxa"/>
            <w:shd w:val="clear" w:color="auto" w:fill="F2F2F2" w:themeFill="background1" w:themeFillShade="F2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Główne problemy i potencjały obszaru LSR, szanse i zagrożenia </w:t>
            </w:r>
          </w:p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(obszar z analizy SWOT)</w:t>
            </w:r>
          </w:p>
        </w:tc>
      </w:tr>
      <w:tr w:rsidR="00DA0356" w:rsidRPr="00DA0356" w:rsidTr="00841C76">
        <w:tc>
          <w:tcPr>
            <w:tcW w:w="1838" w:type="dxa"/>
          </w:tcPr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społeczny 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Występowanie ubóstwa lub wykluczenia społecznego oraz dużej liczby osób biernych zawodowo, w tym w kryzysie bezdomności oraz niska aktywność mieszkańców i aktywizacji społecznej znajdujących się w trudnej sytuacji społecznej i ograniczony potencjał kapitału społecznego</w:t>
            </w:r>
          </w:p>
        </w:tc>
        <w:tc>
          <w:tcPr>
            <w:tcW w:w="3038" w:type="dxa"/>
          </w:tcPr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Mocne strony: M3, M4, M11, M12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Słabe strony: S1, S2, S3, S4, S5, S6, S9, S10, S12, S15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Szanse: SZ8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Zagrożenia: Z1, Z5, Z6, Z7, Z8, Z9, </w:t>
            </w:r>
          </w:p>
        </w:tc>
      </w:tr>
      <w:tr w:rsidR="00DA0356" w:rsidRPr="00DA0356" w:rsidTr="00841C76">
        <w:tc>
          <w:tcPr>
            <w:tcW w:w="1838" w:type="dxa"/>
          </w:tcPr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przedsiębiorczości 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Mała atrakcyjność osiedleńcza obszaru, niski poziom przedsiębiorczości i brak pozarolniczych funkcji gospodarstw rolnych w tym ograniczona współpraca, niska innowacyjność lokalnych przedsiębiorców</w:t>
            </w:r>
          </w:p>
        </w:tc>
        <w:tc>
          <w:tcPr>
            <w:tcW w:w="3038" w:type="dxa"/>
          </w:tcPr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Mocne strony: M5, M6, M7, M8, M9, M10, M13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Słabe strony: S3, S7, S11, S13, 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Szanse: SZ1, SZ2, SZ4, SZ6, SZ8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Zagrożenia: Z1, Z2, Z7</w:t>
            </w:r>
          </w:p>
        </w:tc>
      </w:tr>
      <w:tr w:rsidR="00DA0356" w:rsidRPr="00DA0356" w:rsidTr="00841C76">
        <w:tc>
          <w:tcPr>
            <w:tcW w:w="1838" w:type="dxa"/>
          </w:tcPr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środowiskowo- przestrzenny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Nieadekwatna do posiadanych walorów naturalnych i kulturowych atrakcyjność kulturowa i rekreacyjna obszaru Partnerstwa Drawy z Liderem Wałeckim</w:t>
            </w:r>
          </w:p>
        </w:tc>
        <w:tc>
          <w:tcPr>
            <w:tcW w:w="3038" w:type="dxa"/>
          </w:tcPr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Mocne strony: M1, M2, M6, M8, M10, 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Słabe strony: S6, S8, S14, 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Szanse: SZ4, SZ7, SZ8</w:t>
            </w:r>
          </w:p>
          <w:p w:rsidR="00DA0356" w:rsidRPr="00DA0356" w:rsidRDefault="00DA0356" w:rsidP="00DA0356">
            <w:pPr>
              <w:spacing w:before="120" w:after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Zagrożenia: Z2, Z3, Z8, Z11, Z12, Z13</w:t>
            </w:r>
          </w:p>
        </w:tc>
      </w:tr>
    </w:tbl>
    <w:p w:rsidR="00DA0356" w:rsidRPr="00DA0356" w:rsidRDefault="00DA0356" w:rsidP="00DA0356">
      <w:pPr>
        <w:spacing w:before="120" w:after="0" w:line="240" w:lineRule="auto"/>
        <w:rPr>
          <w:kern w:val="0"/>
          <w:sz w:val="20"/>
          <w:szCs w:val="20"/>
          <w14:ligatures w14:val="none"/>
        </w:rPr>
      </w:pPr>
      <w:r w:rsidRPr="00DA0356">
        <w:rPr>
          <w:kern w:val="0"/>
          <w:sz w:val="20"/>
          <w:szCs w:val="20"/>
          <w14:ligatures w14:val="none"/>
        </w:rPr>
        <w:t>Źródło: opracowanie własne</w:t>
      </w:r>
    </w:p>
    <w:p w:rsidR="00DA0356" w:rsidRPr="00DA0356" w:rsidRDefault="00DA0356" w:rsidP="00DA0356">
      <w:pPr>
        <w:spacing w:before="120" w:after="0" w:line="276" w:lineRule="auto"/>
        <w:rPr>
          <w:kern w:val="0"/>
          <w14:ligatures w14:val="none"/>
        </w:rPr>
      </w:pPr>
      <w:r w:rsidRPr="00DA0356">
        <w:rPr>
          <w:kern w:val="0"/>
          <w14:ligatures w14:val="none"/>
        </w:rPr>
        <w:t>Kolejnym etapem prac nad LSR była identyfikacja możliwych, negatywnych następstw istnienia zidentyfikowanych głównych problemów. W tym zakresie wskazano możliwe następstwa, jakie mogą się pojawić w wyniku nie podjęcia działań mających na celu rozwiązanie wskazanych problemów.</w:t>
      </w:r>
    </w:p>
    <w:p w:rsidR="00DA0356" w:rsidRPr="00DA0356" w:rsidRDefault="00DA0356" w:rsidP="00DA0356">
      <w:pPr>
        <w:spacing w:before="120" w:after="0" w:line="276" w:lineRule="auto"/>
        <w:rPr>
          <w:kern w:val="0"/>
          <w14:ligatures w14:val="none"/>
        </w:rPr>
      </w:pPr>
      <w:r w:rsidRPr="00DA0356">
        <w:rPr>
          <w:kern w:val="0"/>
          <w14:ligatures w14:val="none"/>
        </w:rPr>
        <w:t xml:space="preserve">Podsumowaniem przedstawionej logiki strategii jest zawarta w poniżej tabeli zależność przyczynowo - skutkowa pomiędzy wynikami analizy SWOT, problemami oraz potrzebami rozwojowymi regionu. Zaprezentowany materiał stanowi podstawę do wyłonienia celów szczegółowych oraz przedsięwzięć przewidzianych do realizacji w ramach LSR na lata 2023-2027. Poniżej zaprezentowano matrycę </w:t>
      </w:r>
      <w:r w:rsidRPr="00DA0356">
        <w:rPr>
          <w:kern w:val="0"/>
          <w14:ligatures w14:val="none"/>
        </w:rPr>
        <w:lastRenderedPageBreak/>
        <w:t>obrazującą cele oraz przedsięwzięcia do realizacji w ramach budowanej LSR. Elementy te wynikają z analizy problemów i potrzeb obszaru LGD.</w:t>
      </w:r>
    </w:p>
    <w:p w:rsidR="00DA0356" w:rsidRPr="00DA0356" w:rsidRDefault="00DA0356" w:rsidP="00DA0356">
      <w:pPr>
        <w:spacing w:before="120" w:after="0" w:line="276" w:lineRule="auto"/>
        <w:rPr>
          <w:kern w:val="0"/>
          <w14:ligatures w14:val="none"/>
        </w:rPr>
      </w:pPr>
      <w:r w:rsidRPr="00DA0356">
        <w:rPr>
          <w:kern w:val="0"/>
          <w14:ligatures w14:val="none"/>
        </w:rPr>
        <w:t>Poniżej przedstawiono analizę potrzeb rozwojowych i potencjałów obszaru wdrażania LSR wraz z ich uzasadnieniem. LSR odnosi się do najważniejszych obszarów, na które może mieć wpływ LSR. Uzasadnienie zwięźle odnosi się do najważniejszych z następujących zagadnień problemowych LSR. Potencjały obszaru LSR przede wszystkim posiadane zasoby, oferowane produkty i usługi, które przynoszą lub mogą przynieść korzyści bezpośrednie (dochody) lub pośrednie poprzez wytworzenie wartości istotnej dla mieszkańców obszaru działania LGD. Rzucająca się w oczy obecność wojska jest cechą wyróżniającą obszar LSR, nie tylko w ramach województwa zachodniopomorskiego. Jest ona szczególnie widoczna w okolicach Drawska Pomorskiego, Złocieńca i Kalisza Pomorskiego. Wojsko odgrywa ogromną rolę w życiu społecznym i gospodarczym tej części obszaru LSR. Wiąże się to z lokalizacją ważnych dla polskiej armii i NATO jednostek wojskowych, między innymi: 21 Bazy Lotnictwa Taktycznego w Świdwinie oraz kompleksu poligonów w na terenie gmin Kalisz Pomorski i Drawsko Pomorskie. Poniżej wskazano determinanty potrzeb rozwojowych:</w:t>
      </w:r>
    </w:p>
    <w:p w:rsidR="00DA0356" w:rsidRPr="00DA0356" w:rsidRDefault="00DA0356" w:rsidP="00DA0356">
      <w:pPr>
        <w:suppressAutoHyphens/>
        <w:autoSpaceDN w:val="0"/>
        <w:spacing w:before="120" w:after="120" w:line="240" w:lineRule="auto"/>
        <w:textAlignment w:val="baseline"/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</w:pPr>
      <w:r w:rsidRPr="00DA0356"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Tabela </w:t>
      </w:r>
      <w:r w:rsidRPr="00DA0356">
        <w:rPr>
          <w:rFonts w:eastAsia="Calibri" w:cstheme="minorHAnsi"/>
          <w:i/>
          <w:iCs/>
          <w:kern w:val="0"/>
          <w:sz w:val="20"/>
          <w:szCs w:val="20"/>
          <w:lang w:eastAsia="pl-PL"/>
          <w14:ligatures w14:val="none"/>
        </w:rPr>
        <w:fldChar w:fldCharType="begin"/>
      </w:r>
      <w:r w:rsidRPr="00DA0356"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  <w:instrText xml:space="preserve"> SEQ Tabela \* ARABIC </w:instrText>
      </w:r>
      <w:r w:rsidRPr="00DA0356">
        <w:rPr>
          <w:rFonts w:eastAsia="Calibri" w:cstheme="minorHAnsi"/>
          <w:i/>
          <w:iCs/>
          <w:kern w:val="0"/>
          <w:sz w:val="20"/>
          <w:szCs w:val="20"/>
          <w:lang w:eastAsia="pl-PL"/>
          <w14:ligatures w14:val="none"/>
        </w:rPr>
        <w:fldChar w:fldCharType="separate"/>
      </w:r>
      <w:r w:rsidRPr="00DA0356">
        <w:rPr>
          <w:rFonts w:eastAsia="Calibri" w:cstheme="minorHAnsi"/>
          <w:b/>
          <w:bCs/>
          <w:noProof/>
          <w:kern w:val="0"/>
          <w:sz w:val="20"/>
          <w:szCs w:val="20"/>
          <w:lang w:eastAsia="pl-PL"/>
          <w14:ligatures w14:val="none"/>
        </w:rPr>
        <w:t>15</w:t>
      </w:r>
      <w:r w:rsidRPr="00DA0356">
        <w:rPr>
          <w:rFonts w:eastAsia="Calibri" w:cstheme="minorHAnsi"/>
          <w:i/>
          <w:iCs/>
          <w:kern w:val="0"/>
          <w:sz w:val="20"/>
          <w:szCs w:val="20"/>
          <w:lang w:eastAsia="pl-PL"/>
          <w14:ligatures w14:val="none"/>
        </w:rPr>
        <w:fldChar w:fldCharType="end"/>
      </w:r>
      <w:r w:rsidRPr="00DA0356">
        <w:rPr>
          <w:rFonts w:eastAsia="Calibri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 Matryca kluczowych wyzwań oraz kierunków strategicznej interwencji i współpracy dla obszaru LSR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40"/>
        <w:gridCol w:w="3062"/>
        <w:gridCol w:w="2458"/>
      </w:tblGrid>
      <w:tr w:rsidR="00DA0356" w:rsidRPr="00DA0356" w:rsidTr="00841C76">
        <w:tc>
          <w:tcPr>
            <w:tcW w:w="3540" w:type="dxa"/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before="120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Kluczowe wyzwania, które najsilniej (pozytywnie i negatywnie) wpłyną na rozwój obszaru LSR w najbliższych latach</w:t>
            </w:r>
          </w:p>
        </w:tc>
        <w:tc>
          <w:tcPr>
            <w:tcW w:w="3062" w:type="dxa"/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before="120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Propozycja oddziaływania na problem (przedsięwzięcie LSR) </w:t>
            </w:r>
          </w:p>
        </w:tc>
        <w:tc>
          <w:tcPr>
            <w:tcW w:w="2458" w:type="dxa"/>
            <w:shd w:val="clear" w:color="auto" w:fill="F2F2F2" w:themeFill="background1" w:themeFillShade="F2"/>
            <w:vAlign w:val="center"/>
          </w:tcPr>
          <w:p w:rsidR="00DA0356" w:rsidRPr="00DA0356" w:rsidRDefault="00DA0356" w:rsidP="00DA0356">
            <w:pPr>
              <w:spacing w:before="120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Propozycja rozwiązania problemu (cel szczegółowy LSR)</w:t>
            </w:r>
          </w:p>
        </w:tc>
      </w:tr>
      <w:tr w:rsidR="00DA0356" w:rsidRPr="00DA0356" w:rsidTr="00841C76">
        <w:tc>
          <w:tcPr>
            <w:tcW w:w="3540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Procesy demograficzne Stałe zmniejszanie się liczby ludności obszaru LSR (depopulacja).</w:t>
            </w:r>
            <w:r w:rsidRPr="00DA0356">
              <w:t xml:space="preserve"> </w:t>
            </w:r>
            <w:r w:rsidRPr="00DA0356">
              <w:rPr>
                <w:sz w:val="20"/>
                <w:szCs w:val="20"/>
              </w:rPr>
              <w:t>Nasilenie się procesu starzenia się społeczności lokalnych potwierdzone wysokim współczynnikiem obciążenia demograficznego, co stawia przed całym obszarem wyzwania w zakresie społecznym, gospodarczym</w:t>
            </w:r>
          </w:p>
        </w:tc>
        <w:tc>
          <w:tcPr>
            <w:tcW w:w="3062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Aktywizacja społeczna i zawodowa i włączenie społeczne mieszkańców (młodych i seniorów) wspólna polityka senioralna uwzględniająca zmiany demograficzne i różnorodność rozwiązań w obszarze</w:t>
            </w:r>
          </w:p>
        </w:tc>
        <w:tc>
          <w:tcPr>
            <w:tcW w:w="2458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Wspieranie aktywnego włączenia społecznego</w:t>
            </w:r>
          </w:p>
        </w:tc>
      </w:tr>
      <w:tr w:rsidR="00DA0356" w:rsidRPr="00DA0356" w:rsidTr="00841C76">
        <w:tc>
          <w:tcPr>
            <w:tcW w:w="3540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Ograniczona dostępność podmiotów reintegracyjnych (CIS, KIS, ZAZ, WTZ)</w:t>
            </w:r>
          </w:p>
        </w:tc>
        <w:tc>
          <w:tcPr>
            <w:tcW w:w="3062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Aktywizacja społeczna i zawodowa Typ projektu: Tworzenie i rozwój działalności już istniejących jednostek reintegracyjnych, takich jak CIS, KIS, WTZ, ZAZ</w:t>
            </w:r>
          </w:p>
        </w:tc>
        <w:tc>
          <w:tcPr>
            <w:tcW w:w="2458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Wspieranie aktywnego włączenia społecznego</w:t>
            </w:r>
          </w:p>
        </w:tc>
      </w:tr>
      <w:tr w:rsidR="00DA0356" w:rsidRPr="00DA0356" w:rsidTr="00841C76">
        <w:tc>
          <w:tcPr>
            <w:tcW w:w="3540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Duża grupa osób biernych zawodowo oraz zagrożonych wykluczeniem społecznym</w:t>
            </w:r>
          </w:p>
        </w:tc>
        <w:tc>
          <w:tcPr>
            <w:tcW w:w="3062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Aktywizacja społeczna i zawodowa Typ projektu: rozwój działań integracyjnych na obszarach gmin zagrożonych marginalizacją oraz miast tracących swoje funkcje społeczno-gospodarcze, stanowiących obszary zdegradowane i obszary rewitalizacji</w:t>
            </w:r>
          </w:p>
        </w:tc>
        <w:tc>
          <w:tcPr>
            <w:tcW w:w="2458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Wspieranie aktywnego włączenia społecznego</w:t>
            </w:r>
          </w:p>
        </w:tc>
      </w:tr>
      <w:tr w:rsidR="00DA0356" w:rsidRPr="00DA0356" w:rsidTr="00841C76">
        <w:tc>
          <w:tcPr>
            <w:tcW w:w="3540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Ograniczone umiejętności życiowe i społeczne niektórych mieszkańców posiadające niskie kwalifikacje i kompetencje zawodowych</w:t>
            </w:r>
          </w:p>
        </w:tc>
        <w:tc>
          <w:tcPr>
            <w:tcW w:w="3062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Aktywizacja społeczna i zawodowa Typ projektu: wsparcie dla pracodawców w celu tworzenia ułatwień dla zatrudniania osób zagrożonych ubóstwem lub </w:t>
            </w:r>
            <w:r w:rsidRPr="00DA0356">
              <w:rPr>
                <w:sz w:val="20"/>
                <w:szCs w:val="20"/>
              </w:rPr>
              <w:lastRenderedPageBreak/>
              <w:t>wykluczeniem społecznym oraz osób biernych zawodowo</w:t>
            </w:r>
          </w:p>
        </w:tc>
        <w:tc>
          <w:tcPr>
            <w:tcW w:w="2458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lastRenderedPageBreak/>
              <w:t>Wspieranie aktywnego włączenia społecznego</w:t>
            </w:r>
          </w:p>
        </w:tc>
      </w:tr>
      <w:tr w:rsidR="00DA0356" w:rsidRPr="00DA0356" w:rsidTr="00841C76">
        <w:tc>
          <w:tcPr>
            <w:tcW w:w="3540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rFonts w:cstheme="minorHAnsi"/>
                <w:sz w:val="20"/>
                <w:szCs w:val="20"/>
              </w:rPr>
              <w:t>Brak aktywności mieszkańców i aktywizacji społecznej znajdujących się w trudnej sytuacji społecznej oraz wielowymiarowe niekorzystne tendencje demograficzne: zmniejsza się liczba urodzeń, zwiększa saldo migracji, coraz więcej jest osób w wieku senioralnym</w:t>
            </w:r>
          </w:p>
        </w:tc>
        <w:tc>
          <w:tcPr>
            <w:tcW w:w="3062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Włączenie społeczne mieszkańców obszaru LSR</w:t>
            </w:r>
          </w:p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Podejmowanie działań rewitalizacyjnych mających na celu „przywrócenie do życia” obszarów zdegradowanych i obszarów rewitalizacji</w:t>
            </w:r>
          </w:p>
        </w:tc>
        <w:tc>
          <w:tcPr>
            <w:tcW w:w="2458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Wspieranie aktywnego włączenia społecznego</w:t>
            </w:r>
          </w:p>
        </w:tc>
      </w:tr>
      <w:tr w:rsidR="00DA0356" w:rsidRPr="00DA0356" w:rsidTr="00841C76">
        <w:tc>
          <w:tcPr>
            <w:tcW w:w="3540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rFonts w:cstheme="minorHAnsi"/>
                <w:sz w:val="20"/>
                <w:szCs w:val="20"/>
              </w:rPr>
            </w:pPr>
            <w:r w:rsidRPr="00DA0356">
              <w:rPr>
                <w:rFonts w:cstheme="minorHAnsi"/>
                <w:sz w:val="20"/>
                <w:szCs w:val="20"/>
              </w:rPr>
              <w:t>Ograniczona świadomość obywatelska mieszkańców obszaru LSR; niewystarczające propagowanie i kultywowanie lokalnego dziedzictwa środowiskowego i kulturalnego pomimo istotnych walorów przyrodniczych i turystycznych obszaru.</w:t>
            </w:r>
          </w:p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Coraz większa działalność sektora społecznego, w tym integracja/rozwój społeczeństwa obywatelskiego, wiąż niski poziom kapitału społecznego</w:t>
            </w:r>
          </w:p>
        </w:tc>
        <w:tc>
          <w:tcPr>
            <w:tcW w:w="3062" w:type="dxa"/>
            <w:vAlign w:val="center"/>
          </w:tcPr>
          <w:p w:rsidR="00DA0356" w:rsidRPr="00DA0356" w:rsidRDefault="00DA0356" w:rsidP="00DA0356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DA0356">
              <w:rPr>
                <w:rFonts w:cstheme="minorHAnsi"/>
                <w:sz w:val="20"/>
                <w:szCs w:val="20"/>
              </w:rPr>
              <w:t xml:space="preserve">Kształtowanie świadomości obywatelskiej (z wyłączeniem inwestycji infrastrukturalnych): </w:t>
            </w:r>
          </w:p>
          <w:p w:rsidR="00DA0356" w:rsidRPr="00DA0356" w:rsidRDefault="00DA0356" w:rsidP="00DA0356">
            <w:pPr>
              <w:numPr>
                <w:ilvl w:val="0"/>
                <w:numId w:val="1"/>
              </w:numPr>
              <w:spacing w:before="120" w:after="120"/>
              <w:ind w:left="310" w:hanging="142"/>
              <w:contextualSpacing/>
              <w:rPr>
                <w:rFonts w:ascii="Calibri" w:eastAsia="Calibri" w:hAnsi="Calibri" w:cstheme="minorHAnsi"/>
                <w:sz w:val="20"/>
                <w:szCs w:val="20"/>
              </w:rPr>
            </w:pPr>
            <w:r w:rsidRPr="00DA0356">
              <w:rPr>
                <w:rFonts w:ascii="Calibri" w:eastAsia="Calibri" w:hAnsi="Calibri" w:cstheme="minorHAnsi"/>
                <w:sz w:val="20"/>
                <w:szCs w:val="20"/>
              </w:rPr>
              <w:t xml:space="preserve">o znaczeniu zrównoważonego rolnictwa  o znaczeniu gospodarki rolno-spożywczej </w:t>
            </w:r>
          </w:p>
          <w:p w:rsidR="00DA0356" w:rsidRPr="00DA0356" w:rsidRDefault="00DA0356" w:rsidP="00DA0356">
            <w:pPr>
              <w:numPr>
                <w:ilvl w:val="0"/>
                <w:numId w:val="1"/>
              </w:numPr>
              <w:spacing w:before="120" w:after="120"/>
              <w:ind w:left="310" w:hanging="142"/>
              <w:contextualSpacing/>
              <w:rPr>
                <w:rFonts w:ascii="Calibri" w:eastAsia="Calibri" w:hAnsi="Calibri" w:cstheme="minorHAnsi"/>
                <w:sz w:val="20"/>
                <w:szCs w:val="20"/>
              </w:rPr>
            </w:pPr>
            <w:r w:rsidRPr="00DA0356">
              <w:rPr>
                <w:rFonts w:ascii="Calibri" w:eastAsia="Calibri" w:hAnsi="Calibri" w:cstheme="minorHAnsi"/>
                <w:sz w:val="20"/>
                <w:szCs w:val="20"/>
              </w:rPr>
              <w:t xml:space="preserve">o znaczeniu zielonej gospodarki </w:t>
            </w:r>
          </w:p>
          <w:p w:rsidR="00DA0356" w:rsidRPr="00DA0356" w:rsidRDefault="00DA0356" w:rsidP="00DA0356">
            <w:pPr>
              <w:numPr>
                <w:ilvl w:val="0"/>
                <w:numId w:val="1"/>
              </w:numPr>
              <w:spacing w:before="120" w:after="120"/>
              <w:ind w:left="310" w:hanging="142"/>
              <w:contextualSpacing/>
              <w:rPr>
                <w:rFonts w:ascii="Calibri" w:eastAsia="Calibri" w:hAnsi="Calibri" w:cstheme="minorHAnsi"/>
                <w:sz w:val="20"/>
                <w:szCs w:val="20"/>
              </w:rPr>
            </w:pPr>
            <w:r w:rsidRPr="00DA0356">
              <w:rPr>
                <w:rFonts w:ascii="Calibri" w:eastAsia="Calibri" w:hAnsi="Calibri" w:cstheme="minorHAnsi"/>
                <w:sz w:val="20"/>
                <w:szCs w:val="20"/>
              </w:rPr>
              <w:t xml:space="preserve">o znaczeniu </w:t>
            </w:r>
            <w:proofErr w:type="spellStart"/>
            <w:r w:rsidRPr="00DA0356">
              <w:rPr>
                <w:rFonts w:ascii="Calibri" w:eastAsia="Calibri" w:hAnsi="Calibri" w:cstheme="minorHAnsi"/>
                <w:sz w:val="20"/>
                <w:szCs w:val="20"/>
              </w:rPr>
              <w:t>biogospodarki</w:t>
            </w:r>
            <w:proofErr w:type="spellEnd"/>
            <w:r w:rsidRPr="00DA0356">
              <w:rPr>
                <w:rFonts w:ascii="Calibri" w:eastAsia="Calibri" w:hAnsi="Calibri" w:cstheme="minorHAnsi"/>
                <w:sz w:val="20"/>
                <w:szCs w:val="20"/>
              </w:rPr>
              <w:t xml:space="preserve">  </w:t>
            </w:r>
          </w:p>
          <w:p w:rsidR="00DA0356" w:rsidRPr="00DA0356" w:rsidRDefault="00DA0356" w:rsidP="00DA0356">
            <w:pPr>
              <w:numPr>
                <w:ilvl w:val="0"/>
                <w:numId w:val="1"/>
              </w:numPr>
              <w:spacing w:before="120" w:after="120"/>
              <w:ind w:left="310" w:hanging="142"/>
              <w:contextualSpacing/>
              <w:rPr>
                <w:rFonts w:ascii="Calibri" w:eastAsia="Calibri" w:hAnsi="Calibri" w:cstheme="minorHAnsi"/>
                <w:sz w:val="20"/>
                <w:szCs w:val="20"/>
              </w:rPr>
            </w:pPr>
            <w:r w:rsidRPr="00DA0356">
              <w:rPr>
                <w:rFonts w:ascii="Calibri" w:eastAsia="Calibri" w:hAnsi="Calibri" w:cstheme="minorHAnsi"/>
                <w:sz w:val="20"/>
                <w:szCs w:val="20"/>
              </w:rPr>
              <w:t xml:space="preserve">o znaczeniu ochrony dziedzictwa kulturowego i przyrodniczego polskiej wsi  </w:t>
            </w:r>
          </w:p>
          <w:p w:rsidR="00DA0356" w:rsidRPr="00DA0356" w:rsidRDefault="00DA0356" w:rsidP="00DA0356">
            <w:pPr>
              <w:numPr>
                <w:ilvl w:val="0"/>
                <w:numId w:val="1"/>
              </w:numPr>
              <w:spacing w:before="120" w:after="120"/>
              <w:ind w:left="310" w:hanging="142"/>
              <w:contextualSpacing/>
              <w:rPr>
                <w:rFonts w:ascii="Calibri" w:eastAsia="Calibri" w:hAnsi="Calibri" w:cstheme="minorHAnsi"/>
                <w:sz w:val="20"/>
                <w:szCs w:val="20"/>
              </w:rPr>
            </w:pPr>
            <w:r w:rsidRPr="00DA0356">
              <w:rPr>
                <w:rFonts w:ascii="Calibri" w:eastAsia="Calibri" w:hAnsi="Calibri" w:cstheme="minorHAnsi"/>
                <w:sz w:val="20"/>
                <w:szCs w:val="20"/>
              </w:rPr>
              <w:t>o znaczeniu wzmacniania programów edukacji liderów życia publicznego i społecznego</w:t>
            </w:r>
          </w:p>
        </w:tc>
        <w:tc>
          <w:tcPr>
            <w:tcW w:w="2458" w:type="dxa"/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Wspieranie aktywnego włączenia społecznego</w:t>
            </w:r>
          </w:p>
        </w:tc>
      </w:tr>
      <w:tr w:rsidR="00DA0356" w:rsidRPr="00DA0356" w:rsidTr="00841C76">
        <w:tc>
          <w:tcPr>
            <w:tcW w:w="354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rynek pracy (poziom zatrudnienia i stopa bezrobocia) wskazujący na niższy od średniej dla regionu i nierównomierny poziom rozwoju przedsiębiorczości; brak zidentyfikowanych i wspieranych branż kluczowych dla rozwoju regionu (przedsiębiorczość), ograniczona innowacyjność przedsiębiorców lokalnych </w:t>
            </w:r>
          </w:p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Niski poziom intensywność ruchu turystycznego obszaru LSR mierzony wskaźnikiem Schneidera</w:t>
            </w:r>
            <w:r w:rsidRPr="00DA0356">
              <w:rPr>
                <w:rFonts w:cs="Times New Roman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3062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Rozwój przedsiębiorczości w tym rozwój </w:t>
            </w:r>
            <w:proofErr w:type="spellStart"/>
            <w:r w:rsidRPr="00DA0356">
              <w:rPr>
                <w:sz w:val="20"/>
                <w:szCs w:val="20"/>
              </w:rPr>
              <w:t>biogospodarki</w:t>
            </w:r>
            <w:proofErr w:type="spellEnd"/>
            <w:r w:rsidRPr="00DA0356">
              <w:rPr>
                <w:sz w:val="20"/>
                <w:szCs w:val="20"/>
              </w:rPr>
              <w:t xml:space="preserve"> lub zielonej gospodarki</w:t>
            </w:r>
          </w:p>
        </w:tc>
        <w:tc>
          <w:tcPr>
            <w:tcW w:w="245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Rozwój przedsiębiorczości na obszarze LSR</w:t>
            </w:r>
          </w:p>
        </w:tc>
      </w:tr>
      <w:tr w:rsidR="00DA0356" w:rsidRPr="00DA0356" w:rsidTr="00841C76">
        <w:tc>
          <w:tcPr>
            <w:tcW w:w="354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Rozdrobnione, niskotowarowe i ekstensywne rolnictwo</w:t>
            </w:r>
          </w:p>
        </w:tc>
        <w:tc>
          <w:tcPr>
            <w:tcW w:w="3062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Rozwój pozarolniczych funkcji gospodarstw rolnych (gospodarstwa agroturystyczne, zagrody edukacyjne)</w:t>
            </w:r>
          </w:p>
        </w:tc>
        <w:tc>
          <w:tcPr>
            <w:tcW w:w="245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Rozwój przedsiębiorczości na obszarze LSR</w:t>
            </w:r>
          </w:p>
        </w:tc>
      </w:tr>
      <w:tr w:rsidR="00DA0356" w:rsidRPr="00DA0356" w:rsidTr="00841C76">
        <w:tc>
          <w:tcPr>
            <w:tcW w:w="354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Niewystarczające propagowanie i kultywowanie lokalnego dziedzictwa środowiskowego i kulturalnego pomimo istotnych walorów przyrodniczych i turystycznych obszaru (lasy, jeziora, </w:t>
            </w:r>
            <w:r w:rsidRPr="00DA0356">
              <w:rPr>
                <w:sz w:val="20"/>
                <w:szCs w:val="20"/>
              </w:rPr>
              <w:lastRenderedPageBreak/>
              <w:t>rzeki Drawa, Piława, dobra jakość wód i powietrza i objęcie różnymi formami ochrony przyrody i krajobrazu tj. Drawski Park Krajobrazowy)</w:t>
            </w:r>
          </w:p>
        </w:tc>
        <w:tc>
          <w:tcPr>
            <w:tcW w:w="3062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lastRenderedPageBreak/>
              <w:t xml:space="preserve">Kultywowanie i propagowanie dziedzictwa kulturowego i walorów naturalnych obszaru LSR </w:t>
            </w:r>
          </w:p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(obszar predysponowany do współpracy z innymi podmiotami </w:t>
            </w:r>
            <w:r w:rsidRPr="00DA0356">
              <w:rPr>
                <w:sz w:val="20"/>
                <w:szCs w:val="20"/>
              </w:rPr>
              <w:lastRenderedPageBreak/>
              <w:t>terytorialnymi również spoza obszaru LSR)</w:t>
            </w:r>
          </w:p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Mapowanie i waloryzacja obszarów turystyczno-przyrodniczych,</w:t>
            </w:r>
          </w:p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Rozwój zielono-niebieskiej infrastruktury</w:t>
            </w:r>
          </w:p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Stworzenie zintegrowanej oferty turystycznej dla całego obszaru LSR</w:t>
            </w:r>
          </w:p>
        </w:tc>
        <w:tc>
          <w:tcPr>
            <w:tcW w:w="245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lastRenderedPageBreak/>
              <w:t>Wzrost atrakcyjności turystycznej, kulturowej i rekreacyjnej i sportowej obszaru LSR</w:t>
            </w:r>
          </w:p>
        </w:tc>
      </w:tr>
      <w:tr w:rsidR="00DA0356" w:rsidRPr="00DA0356" w:rsidTr="00841C76">
        <w:tc>
          <w:tcPr>
            <w:tcW w:w="354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Niewystarczający rozwój małej ogólnodostępnej i niekomercyjnej infrastruktury rekreacyjnej i turystycznej</w:t>
            </w:r>
          </w:p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Problemy społeczne, ze szczególnym uwzględnieniem problemów ubóstwa i wykluczenia społecznego oraz skali tych zjawisk (np. dostęp do miejscowej infrastruktury i kultury)</w:t>
            </w:r>
          </w:p>
        </w:tc>
        <w:tc>
          <w:tcPr>
            <w:tcW w:w="3062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Poprawa dostępu do małej infrastruktury publicznej i usług dla lokalnych społeczności</w:t>
            </w:r>
          </w:p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Rozwój nowoczesnych technologii i infrastruktury IT</w:t>
            </w:r>
          </w:p>
        </w:tc>
        <w:tc>
          <w:tcPr>
            <w:tcW w:w="245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Wzrost atrakcyjności turystycznej, kulturowej i rekreacyjnej i sportowej obszaru LSR</w:t>
            </w:r>
          </w:p>
        </w:tc>
      </w:tr>
      <w:tr w:rsidR="00DA0356" w:rsidRPr="00DA0356" w:rsidTr="00841C76"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rFonts w:cstheme="minorHAnsi"/>
                <w:sz w:val="20"/>
                <w:szCs w:val="20"/>
              </w:rPr>
            </w:pPr>
            <w:r w:rsidRPr="00DA0356">
              <w:rPr>
                <w:rFonts w:cstheme="minorHAnsi"/>
                <w:sz w:val="20"/>
                <w:szCs w:val="20"/>
              </w:rPr>
              <w:t xml:space="preserve">Niewystarczająca ochrona dziedzictwa kulturowego/zabytków i przyrodniczego obszaru LSR  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rFonts w:cstheme="minorHAnsi"/>
                <w:sz w:val="20"/>
                <w:szCs w:val="20"/>
              </w:rPr>
            </w:pPr>
            <w:r w:rsidRPr="00DA0356">
              <w:rPr>
                <w:rFonts w:cstheme="minorHAnsi"/>
                <w:sz w:val="20"/>
                <w:szCs w:val="20"/>
              </w:rPr>
              <w:t>Ochrona dziedzictwa kulturowego i przyrodniczego polskiej wsi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Wzrost atrakcyjności turystycznej, kulturowej i rekreacyjnej i sportowej obszaru LSR </w:t>
            </w:r>
          </w:p>
        </w:tc>
      </w:tr>
      <w:tr w:rsidR="00DA0356" w:rsidRPr="00DA0356" w:rsidTr="00841C76"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rFonts w:cstheme="minorHAnsi"/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Niedostateczna integracja i współpraca mieszkańców obszaru oraz słaba wymiana doświadczeń z innymi regionami – w zakresie przede wszystkim rozwoju i promocji turystyki, kultury i produktów lokalnych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 w:line="264" w:lineRule="auto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 xml:space="preserve">Wzmocnienie potencjału partnerstwa LGD i </w:t>
            </w:r>
            <w:r w:rsidRPr="00DA0356">
              <w:rPr>
                <w:rFonts w:cstheme="minorHAnsi"/>
                <w:sz w:val="20"/>
                <w:szCs w:val="20"/>
              </w:rPr>
              <w:t>bieżąca działalność związana z realizacją strategii oraz działania animacyjne dotyczące LSR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356" w:rsidRPr="00DA0356" w:rsidRDefault="00DA0356" w:rsidP="00DA0356">
            <w:pPr>
              <w:spacing w:before="120"/>
              <w:rPr>
                <w:sz w:val="20"/>
                <w:szCs w:val="20"/>
              </w:rPr>
            </w:pPr>
            <w:r w:rsidRPr="00DA0356">
              <w:rPr>
                <w:sz w:val="20"/>
                <w:szCs w:val="20"/>
              </w:rPr>
              <w:t>Wzrost atrakcyjności turystycznej, kulturowej i rekreacyjnej i sportowej obszaru LSR</w:t>
            </w:r>
          </w:p>
        </w:tc>
      </w:tr>
    </w:tbl>
    <w:p w:rsidR="00DA0356" w:rsidRPr="00DA0356" w:rsidRDefault="00DA0356" w:rsidP="00DA0356">
      <w:pPr>
        <w:spacing w:before="120" w:after="0" w:line="240" w:lineRule="auto"/>
        <w:rPr>
          <w:kern w:val="0"/>
          <w:sz w:val="20"/>
          <w:szCs w:val="20"/>
          <w14:ligatures w14:val="none"/>
        </w:rPr>
      </w:pPr>
      <w:r w:rsidRPr="00DA0356">
        <w:rPr>
          <w:kern w:val="0"/>
          <w:sz w:val="20"/>
          <w:szCs w:val="20"/>
          <w14:ligatures w14:val="none"/>
        </w:rPr>
        <w:t xml:space="preserve">Źródło: opracowanie własne na podstawie Regulaminu konkursu na wybór LSR Województwa Zachodniopomorskiego [dostęp: </w:t>
      </w:r>
      <w:hyperlink r:id="rId11" w:history="1">
        <w:r w:rsidRPr="00DA0356">
          <w:rPr>
            <w:color w:val="0563C1"/>
            <w:kern w:val="0"/>
            <w:sz w:val="20"/>
            <w:szCs w:val="20"/>
            <w:u w:val="single"/>
            <w14:ligatures w14:val="none"/>
          </w:rPr>
          <w:t>konkurs-na-</w:t>
        </w:r>
        <w:proofErr w:type="spellStart"/>
        <w:r w:rsidRPr="00DA0356">
          <w:rPr>
            <w:color w:val="0563C1"/>
            <w:kern w:val="0"/>
            <w:sz w:val="20"/>
            <w:szCs w:val="20"/>
            <w:u w:val="single"/>
            <w14:ligatures w14:val="none"/>
          </w:rPr>
          <w:t>wybor</w:t>
        </w:r>
        <w:proofErr w:type="spellEnd"/>
        <w:r w:rsidRPr="00DA0356">
          <w:rPr>
            <w:color w:val="0563C1"/>
            <w:kern w:val="0"/>
            <w:sz w:val="20"/>
            <w:szCs w:val="20"/>
            <w:u w:val="single"/>
            <w14:ligatures w14:val="none"/>
          </w:rPr>
          <w:t>-strategii-rozwoju-lokalnego</w:t>
        </w:r>
      </w:hyperlink>
      <w:r w:rsidRPr="00DA0356">
        <w:rPr>
          <w:kern w:val="0"/>
          <w:sz w:val="20"/>
          <w:szCs w:val="20"/>
          <w14:ligatures w14:val="none"/>
        </w:rPr>
        <w:t>]</w:t>
      </w:r>
    </w:p>
    <w:p w:rsidR="00DA0356" w:rsidRPr="00DA0356" w:rsidRDefault="00DA0356" w:rsidP="00DA0356">
      <w:pPr>
        <w:spacing w:before="120" w:after="0" w:line="276" w:lineRule="auto"/>
        <w:rPr>
          <w:kern w:val="0"/>
          <w14:ligatures w14:val="none"/>
        </w:rPr>
      </w:pPr>
      <w:r w:rsidRPr="00DA0356">
        <w:rPr>
          <w:kern w:val="0"/>
          <w14:ligatures w14:val="none"/>
        </w:rPr>
        <w:t>Przewidując w LSR działania na rzecz grup osób w niekorzystnej sytuacji w LSR można zawrzeć również sposób animacji, komunikacji i informowania lokalnej społeczności o  działaniach na rzecz grup osób w niekorzystnej sytuacji, stosowanie do definicji wskazanej w PS WPR oraz FEPZ.</w:t>
      </w:r>
      <w:r w:rsidRPr="00DA0356">
        <w:rPr>
          <w:b/>
          <w:bCs/>
          <w:kern w:val="0"/>
          <w14:ligatures w14:val="none"/>
        </w:rPr>
        <w:t xml:space="preserve"> </w:t>
      </w:r>
      <w:r w:rsidRPr="00DA0356">
        <w:rPr>
          <w:kern w:val="0"/>
          <w14:ligatures w14:val="none"/>
        </w:rPr>
        <w:t xml:space="preserve">Mając na uwadze analizę ludności zamieszkującej obszar objęty LSR oraz ich potrzeb zidentyfikowano grupy docelowe szczególnie istotne z punktu widzenia realizacji LSR. </w:t>
      </w:r>
    </w:p>
    <w:p w:rsidR="00DA0356" w:rsidRPr="00DA0356" w:rsidRDefault="00DA0356" w:rsidP="00DA0356">
      <w:pPr>
        <w:spacing w:before="120" w:after="0" w:line="276" w:lineRule="auto"/>
        <w:rPr>
          <w:rFonts w:cs="Calibri"/>
          <w:kern w:val="0"/>
          <w14:ligatures w14:val="none"/>
        </w:rPr>
      </w:pPr>
      <w:r w:rsidRPr="00DA0356">
        <w:rPr>
          <w:kern w:val="0"/>
          <w14:ligatures w14:val="none"/>
        </w:rPr>
        <w:t xml:space="preserve">LGD będzie wspierać zarówno lokalne, jak i -ponadlokalne inicjatywy, szczególnie uwzględniając na obszarze LSR możliwość wykorzystania potencjału jakim jest możliwość pozyskania </w:t>
      </w:r>
      <w:r w:rsidRPr="00DA0356">
        <w:rPr>
          <w:rFonts w:cs="Calibri"/>
          <w:kern w:val="0"/>
          <w14:ligatures w14:val="none"/>
        </w:rPr>
        <w:t>instrumentów terytorialnych w ramach ZIT Strefa Centralna</w:t>
      </w:r>
      <w:r w:rsidRPr="00DA0356">
        <w:rPr>
          <w:rFonts w:cs="Times New Roman"/>
          <w:kern w:val="0"/>
          <w:vertAlign w:val="superscript"/>
          <w14:ligatures w14:val="none"/>
        </w:rPr>
        <w:footnoteReference w:id="3"/>
      </w:r>
      <w:r w:rsidRPr="00DA0356">
        <w:rPr>
          <w:rFonts w:cs="Calibri"/>
          <w:kern w:val="0"/>
          <w14:ligatures w14:val="none"/>
        </w:rPr>
        <w:t xml:space="preserve"> oraz ZIT Partnerstwo Sieć współpracy zarządzania </w:t>
      </w:r>
      <w:r w:rsidRPr="00DA0356">
        <w:rPr>
          <w:rFonts w:cs="Calibri"/>
          <w:kern w:val="0"/>
          <w14:ligatures w14:val="none"/>
        </w:rPr>
        <w:lastRenderedPageBreak/>
        <w:t>strategicznego gmin na rzecz kompleksowego rozwoju powiatu wałeckiego</w:t>
      </w:r>
      <w:r w:rsidRPr="00DA0356">
        <w:rPr>
          <w:rFonts w:cs="Times New Roman"/>
          <w:kern w:val="0"/>
          <w:vertAlign w:val="superscript"/>
          <w14:ligatures w14:val="none"/>
        </w:rPr>
        <w:footnoteReference w:id="4"/>
      </w:r>
      <w:r w:rsidRPr="00DA0356">
        <w:rPr>
          <w:rFonts w:cs="Calibri"/>
          <w:kern w:val="0"/>
          <w14:ligatures w14:val="none"/>
        </w:rPr>
        <w:t xml:space="preserve">. Warte podkreślenia jest, że w ramach prac nad Strategią terytorialna Partnerstwa Strefy Centralnej zidentyfikowano 16 projektów strategicznych, których realizacja może w dłuższej perspektywie znacząco przyczynić się do realizacji celów Strategii. Pośród projektów strategicznych szczególnie predysponowany dla LGD jest cel z obszaru wsparcia przedsiębiorców w ramach projektu 2. Utworzenie sieci międzygminnych centrów rozwoju przedsiębiorczości. Szansą będzie zatem możliwość wykorzystania potencjału LGD, jako partnerów w realizacji projektów strategicznych i projektów uzupełniających oraz możliwości zaangażowania przedstawicieli LGD w działanie Branżowych Zespołów Sterujących oraz Rady Programowej PSC. </w:t>
      </w:r>
    </w:p>
    <w:p w:rsidR="00DA0356" w:rsidRPr="00DA0356" w:rsidRDefault="00DA0356" w:rsidP="00DA0356">
      <w:pPr>
        <w:spacing w:before="120" w:after="0" w:line="276" w:lineRule="auto"/>
        <w:rPr>
          <w:b/>
          <w:bCs/>
          <w:kern w:val="0"/>
          <w14:ligatures w14:val="none"/>
        </w:rPr>
      </w:pPr>
      <w:r w:rsidRPr="00DA0356">
        <w:rPr>
          <w:kern w:val="0"/>
          <w14:ligatures w14:val="none"/>
        </w:rPr>
        <w:t xml:space="preserve">Biorąc pod uwagę zmiany zachodzące na zachodniopomorskim rynku pracy, a także trendy demograficzne mające na nie znaczący wpływ, istotnym jest wspieranie w pierwszej kolejności tych uczestników rynku pracy, których potencjał jest w stanie w znacznej mierze zmniejszyć asymetrię między jego stroną podażową a popytową, a także podnieść poziom kapitału ludzkiego w województwie. Należy tutaj wymienić zwłaszcza: </w:t>
      </w:r>
    </w:p>
    <w:p w:rsidR="00DA0356" w:rsidRPr="00DA0356" w:rsidRDefault="00DA0356" w:rsidP="00DA0356">
      <w:pPr>
        <w:numPr>
          <w:ilvl w:val="0"/>
          <w:numId w:val="2"/>
        </w:numPr>
        <w:spacing w:before="120" w:after="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DA0356">
        <w:rPr>
          <w:rFonts w:ascii="Calibri" w:eastAsia="Calibri" w:hAnsi="Calibri" w:cs="Times New Roman"/>
          <w:b/>
          <w:bCs/>
          <w:kern w:val="0"/>
          <w14:ligatures w14:val="none"/>
        </w:rPr>
        <w:t>kobiety</w:t>
      </w:r>
      <w:r w:rsidRPr="00DA0356">
        <w:rPr>
          <w:rFonts w:ascii="Calibri" w:eastAsia="Calibri" w:hAnsi="Calibri" w:cs="Times New Roman"/>
          <w:kern w:val="0"/>
          <w14:ligatures w14:val="none"/>
        </w:rPr>
        <w:t xml:space="preserve"> – zidentyfikowanym problemem jest przezwyciężenie stereotypy odgrywania tradycyjnych ról społecznych i wsparcie przywrócenia ich dla lokalnego rynku pracy. Obszar LSR charakteryzuje się typowo „męskimi” zakładami pracy tj. jednostka wojskowa i zakład karny. Podczas przeprowadzonych wywiadów fokusowych z młodymi mamami oraz pracownikami GOPS z terenu LSR, zdiagnozowano kilka problemów dotyczących tej grupy społecznej, m.in. zauważono, iż sztywna organizacja czasu pracy i niedostatek opieki instytucjonalnej to główne czynniki powodujące trudności w łączeniu pracy zawodowej i opieki nad dziećmi;</w:t>
      </w:r>
    </w:p>
    <w:p w:rsidR="00DA0356" w:rsidRPr="00DA0356" w:rsidRDefault="00DA0356" w:rsidP="00DA0356">
      <w:pPr>
        <w:spacing w:before="120" w:after="0" w:line="276" w:lineRule="auto"/>
        <w:ind w:left="714"/>
        <w:contextualSpacing/>
        <w:rPr>
          <w:rFonts w:ascii="Calibri" w:eastAsia="Calibri" w:hAnsi="Calibri" w:cs="Times New Roman"/>
          <w:kern w:val="0"/>
          <w:sz w:val="8"/>
          <w:szCs w:val="8"/>
          <w14:ligatures w14:val="none"/>
        </w:rPr>
      </w:pPr>
    </w:p>
    <w:p w:rsidR="00DA0356" w:rsidRPr="00DA0356" w:rsidRDefault="00DA0356" w:rsidP="00DA0356">
      <w:pPr>
        <w:numPr>
          <w:ilvl w:val="0"/>
          <w:numId w:val="2"/>
        </w:numPr>
        <w:spacing w:before="120" w:after="0" w:line="276" w:lineRule="auto"/>
        <w:ind w:left="714" w:hanging="357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DA0356">
        <w:rPr>
          <w:rFonts w:ascii="Calibri" w:eastAsia="Calibri" w:hAnsi="Calibri" w:cs="Times New Roman"/>
          <w:b/>
          <w:bCs/>
          <w:kern w:val="0"/>
          <w14:ligatures w14:val="none"/>
        </w:rPr>
        <w:t>osoby z niepełnosprawnościami</w:t>
      </w:r>
      <w:r w:rsidRPr="00DA0356">
        <w:rPr>
          <w:rFonts w:ascii="Calibri" w:eastAsia="Calibri" w:hAnsi="Calibri" w:cs="Times New Roman"/>
          <w:kern w:val="0"/>
          <w14:ligatures w14:val="none"/>
        </w:rPr>
        <w:t xml:space="preserve"> - w Polsce pod koniec 2018 r. pracujące osoby z niepełnosprawnością stanowiły 3,6% ogólnej liczby pracujących. Różnice między aktywnością zawodową osób sprawnych i z niepełnosprawnością są znaczące. Na podstawie danych GUS współczynnik aktywności zawodowej osób sprawnych w wieku produkcyjnym wynosił 79,8%, wskaźnik zatrudnienia 75,9%, a stopa bezrobocia 4,9%. Różnica między wskaźnikiem zatrudnienia osób sprawnych a osób z niepełnosprawnością w wieku produkcyjnym wynosiła 49,6% a między stopą bezrobocia tych dwóch grup 4,4 pkt %. Sytuacja osób z niepełnosprawnością na lokalnym rynku pracy jest niekorzystna, co obrazuje niski poziom aktywności zawodowej i relatywnie wysokie bezrobocie osób niepełnosprawnych. Taka sytuacja w efekcie rodzi wiele negatywnych zjawisk wśród osób niepełnosprawnych: pogłębia izolację i bezradność, utrwala postawy roszczeniowe wobec pomocy instytucji publicznych, utrwala negatywne stereotypy społeczne dotyczące pracy osób z niepełnosprawnością. Dlatego konieczne jest wyrównywanie szans osób zagrożonych wykluczeniem społecznym tak, aby włączać je w życie społeczne oraz ułatwiać integrację na rynku pracy</w:t>
      </w:r>
    </w:p>
    <w:p w:rsidR="00DA0356" w:rsidRPr="00DA0356" w:rsidRDefault="00DA0356" w:rsidP="00DA0356">
      <w:pPr>
        <w:spacing w:before="120" w:after="0" w:line="276" w:lineRule="auto"/>
        <w:ind w:left="714"/>
        <w:contextualSpacing/>
        <w:rPr>
          <w:rFonts w:ascii="Calibri" w:eastAsia="Calibri" w:hAnsi="Calibri" w:cs="Times New Roman"/>
          <w:kern w:val="0"/>
          <w:sz w:val="8"/>
          <w:szCs w:val="8"/>
          <w14:ligatures w14:val="none"/>
        </w:rPr>
      </w:pPr>
    </w:p>
    <w:p w:rsidR="00DA0356" w:rsidRPr="00DA0356" w:rsidRDefault="00DA0356" w:rsidP="00DA0356">
      <w:pPr>
        <w:numPr>
          <w:ilvl w:val="0"/>
          <w:numId w:val="2"/>
        </w:numPr>
        <w:spacing w:before="120" w:after="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DA0356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osoby poszukujące zatrudnienia, w tym mieszkańcy osiedli po-PGR – </w:t>
      </w:r>
      <w:r w:rsidRPr="00DA0356">
        <w:rPr>
          <w:rFonts w:ascii="Calibri" w:eastAsia="Calibri" w:hAnsi="Calibri" w:cs="Times New Roman"/>
          <w:kern w:val="0"/>
          <w14:ligatures w14:val="none"/>
        </w:rPr>
        <w:t>osoby</w:t>
      </w:r>
      <w:r w:rsidRPr="00DA0356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</w:t>
      </w:r>
      <w:r w:rsidRPr="00DA0356">
        <w:rPr>
          <w:rFonts w:ascii="Calibri" w:eastAsia="Calibri" w:hAnsi="Calibri" w:cs="Times New Roman"/>
          <w:kern w:val="0"/>
          <w14:ligatures w14:val="none"/>
        </w:rPr>
        <w:t xml:space="preserve">bierne zawodowo wyzwaniem tej grupy społecznej będzie ich szybkie dopasowanie do oczekiwań pracodawców, wspieraniem „młodej przedsiębiorczości”, powstrzymywaniem przed emigracją do większych ośrodków miejskich, wyzwaniem będzie przywrócenia na rynek pracy </w:t>
      </w:r>
      <w:r w:rsidRPr="00DA0356">
        <w:rPr>
          <w:rFonts w:ascii="Calibri" w:eastAsia="Calibri" w:hAnsi="Calibri" w:cs="Times New Roman"/>
          <w:kern w:val="0"/>
          <w14:ligatures w14:val="none"/>
        </w:rPr>
        <w:lastRenderedPageBreak/>
        <w:t>tych, którzy są od niego najbardziej oddaleni z powodów barier o charakterze zarówno subiektywnym, jak i obiektywnym.</w:t>
      </w:r>
      <w:r w:rsidRPr="00DA0356">
        <w:rPr>
          <w:rFonts w:ascii="TimesNewRomanPSMT" w:eastAsia="Calibri" w:hAnsi="TimesNewRomanPSMT" w:cs="TimesNewRomanPSMT"/>
          <w:kern w:val="0"/>
          <w:sz w:val="24"/>
          <w:szCs w:val="24"/>
          <w14:ligatures w14:val="none"/>
        </w:rPr>
        <w:t xml:space="preserve"> </w:t>
      </w:r>
      <w:r w:rsidRPr="00DA0356">
        <w:rPr>
          <w:rFonts w:ascii="Calibri" w:eastAsia="Calibri" w:hAnsi="Calibri" w:cs="Times New Roman"/>
          <w:kern w:val="0"/>
          <w14:ligatures w14:val="none"/>
        </w:rPr>
        <w:t>Z uwagi na problemy, na jakie napotykają osoby zagrożone wykluczeniem społecznym podczas szukania zatrudnienia, jak i jego utrzymania, niezbędne jest podejmowanie licznych działań przyczyniających się do pozostawania na rynku pracy jak najdłużej. Obejmą one m.in. wsparcie kierowane do pracodawców, zapewniające ułatwienia w zatrudnianiu osób zagrożonych ubóstwem lub wykluczeniem społecznym oraz osób biernych zawodowo. Obejmie ono m.in.: poradnictwo psychologiczne, coaching pracowniczy, trenera pracy, szkolenia z zakresu rodzajów niepełnosprawności i wynikających z nich barier.</w:t>
      </w:r>
    </w:p>
    <w:p w:rsidR="00DA0356" w:rsidRPr="00DA0356" w:rsidRDefault="00DA0356" w:rsidP="00DA0356">
      <w:pPr>
        <w:suppressAutoHyphens/>
        <w:autoSpaceDN w:val="0"/>
        <w:spacing w:before="120" w:after="0" w:line="276" w:lineRule="auto"/>
        <w:ind w:left="720"/>
        <w:textAlignment w:val="baseline"/>
        <w:rPr>
          <w:rFonts w:ascii="Calibri" w:eastAsia="Calibri" w:hAnsi="Calibri" w:cs="Times New Roman"/>
          <w:kern w:val="0"/>
          <w:sz w:val="8"/>
          <w:szCs w:val="8"/>
          <w14:ligatures w14:val="none"/>
        </w:rPr>
      </w:pPr>
    </w:p>
    <w:p w:rsidR="00DA0356" w:rsidRPr="00DA0356" w:rsidRDefault="00DA0356" w:rsidP="00DA0356">
      <w:pPr>
        <w:numPr>
          <w:ilvl w:val="0"/>
          <w:numId w:val="2"/>
        </w:numPr>
        <w:spacing w:before="120" w:after="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DA0356">
        <w:rPr>
          <w:rFonts w:ascii="Calibri" w:eastAsia="Calibri" w:hAnsi="Calibri" w:cs="Times New Roman"/>
          <w:b/>
          <w:bCs/>
          <w:kern w:val="0"/>
          <w14:ligatures w14:val="none"/>
        </w:rPr>
        <w:t>migranci</w:t>
      </w:r>
      <w:r w:rsidRPr="00DA0356">
        <w:rPr>
          <w:rFonts w:ascii="Calibri" w:eastAsia="Calibri" w:hAnsi="Calibri" w:cs="Times New Roman"/>
          <w:kern w:val="0"/>
          <w14:ligatures w14:val="none"/>
        </w:rPr>
        <w:t xml:space="preserve"> - grupa docelowa obejmuje osoby przebywające na terenie obszaru LSR pochodzące głownie z terenu objętego działaniami zbrojnymi Ukrainy. Potrzeby tych osób odnoszą się głownie do zapewnienia dostępu do infrastruktury społecznej i możliwości podjęcia działalności gospodarczej</w:t>
      </w:r>
    </w:p>
    <w:p w:rsidR="00DA0356" w:rsidRPr="00DA0356" w:rsidRDefault="00DA0356" w:rsidP="00DA0356">
      <w:pPr>
        <w:spacing w:before="120" w:after="0" w:line="276" w:lineRule="auto"/>
        <w:ind w:left="720"/>
        <w:contextualSpacing/>
        <w:rPr>
          <w:rFonts w:ascii="Calibri" w:eastAsia="Calibri" w:hAnsi="Calibri" w:cs="Times New Roman"/>
          <w:kern w:val="0"/>
          <w:sz w:val="8"/>
          <w:szCs w:val="8"/>
          <w14:ligatures w14:val="none"/>
        </w:rPr>
      </w:pPr>
    </w:p>
    <w:p w:rsidR="00DA0356" w:rsidRPr="00DA0356" w:rsidRDefault="00DA0356" w:rsidP="00DA0356">
      <w:pPr>
        <w:numPr>
          <w:ilvl w:val="0"/>
          <w:numId w:val="2"/>
        </w:numPr>
        <w:spacing w:before="120" w:after="0"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DA0356">
        <w:rPr>
          <w:rFonts w:ascii="Calibri" w:eastAsia="Calibri" w:hAnsi="Calibri" w:cs="Times New Roman"/>
          <w:b/>
          <w:bCs/>
          <w:kern w:val="0"/>
          <w14:ligatures w14:val="none"/>
        </w:rPr>
        <w:t>seniorzy</w:t>
      </w:r>
      <w:r w:rsidRPr="00DA0356">
        <w:rPr>
          <w:rFonts w:ascii="Calibri" w:eastAsia="Calibri" w:hAnsi="Calibri" w:cs="Times New Roman"/>
          <w:kern w:val="0"/>
          <w:vertAlign w:val="superscript"/>
          <w14:ligatures w14:val="none"/>
        </w:rPr>
        <w:footnoteReference w:id="5"/>
      </w:r>
      <w:r w:rsidRPr="00DA0356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oraz ludzie młodzi</w:t>
      </w:r>
      <w:r w:rsidRPr="00DA0356">
        <w:rPr>
          <w:rFonts w:ascii="Calibri" w:eastAsia="Calibri" w:hAnsi="Calibri" w:cs="Times New Roman"/>
          <w:b/>
          <w:bCs/>
          <w:kern w:val="0"/>
          <w:vertAlign w:val="superscript"/>
          <w14:ligatures w14:val="none"/>
        </w:rPr>
        <w:footnoteReference w:id="6"/>
      </w:r>
      <w:r w:rsidRPr="00DA0356">
        <w:rPr>
          <w:rFonts w:ascii="Calibri" w:eastAsia="Calibri" w:hAnsi="Calibri" w:cs="Times New Roman"/>
          <w:kern w:val="0"/>
          <w14:ligatures w14:val="none"/>
        </w:rPr>
        <w:t xml:space="preserve"> - analiza danych GUS dotyczących wieku mieszkańców wskazuje, że grupa osób w wieku nieprodukcyjnym na obszarze LSR jest szczególnie wysoka (54%). Wyzwaniem dla tej grupy społecznej będzie wykorzystanie ich doświadczenia zawodowego i kompetencji zawodowych seniorów do ich aktywizacji zawodowej, z kolei dzięki środkom wsparcia EFS+ możliwie będzie podnoszenie kwalifikacji młodych ludzi celem ich włączenia na rynek pracy. Odnośnie potrzeb infrastrukturalnych grupa seniorów generować będzie szczególne potrzeby dla obszaru LSR. </w:t>
      </w:r>
    </w:p>
    <w:p w:rsidR="00DA0356" w:rsidRPr="00DA0356" w:rsidRDefault="00DA0356" w:rsidP="00DA0356">
      <w:pPr>
        <w:spacing w:before="120" w:after="0" w:line="276" w:lineRule="auto"/>
        <w:contextualSpacing/>
        <w:rPr>
          <w:kern w:val="0"/>
          <w14:ligatures w14:val="none"/>
        </w:rPr>
      </w:pPr>
      <w:r w:rsidRPr="00DA0356">
        <w:rPr>
          <w:kern w:val="0"/>
          <w14:ligatures w14:val="none"/>
        </w:rPr>
        <w:t>LSR przewidywać będzie sposoby animacji, komunikacji i informowania lokalnej społeczności o</w:t>
      </w:r>
    </w:p>
    <w:p w:rsidR="00DA0356" w:rsidRPr="00DA0356" w:rsidRDefault="00DA0356" w:rsidP="00DA0356">
      <w:pPr>
        <w:spacing w:before="120" w:after="0" w:line="276" w:lineRule="auto"/>
        <w:contextualSpacing/>
        <w:rPr>
          <w:kern w:val="0"/>
          <w14:ligatures w14:val="none"/>
        </w:rPr>
      </w:pPr>
      <w:r w:rsidRPr="00DA0356">
        <w:rPr>
          <w:kern w:val="0"/>
          <w14:ligatures w14:val="none"/>
        </w:rPr>
        <w:t xml:space="preserve">działaniach na rzecz grup osób w niekorzystnej sytuacji w sposób dostosowany do potrzeb tych osób – w Planie komunikacji zaplanowano, zarówno tradycyjne narzędzia komunikacji tj. plakaty i spotkania w świetlicach wiejskich, jak również wykorzystanie nowych technologii poprzez udostępnianie treści informacyjnych, promocyjnych i doradczych w witrynie internetowej oraz za pośrednictwem mediów społecznościowych. </w:t>
      </w:r>
    </w:p>
    <w:p w:rsidR="00DA0356" w:rsidRPr="00DA0356" w:rsidRDefault="00DA0356" w:rsidP="00DA0356">
      <w:pPr>
        <w:spacing w:before="120" w:after="0" w:line="276" w:lineRule="auto"/>
        <w:rPr>
          <w:b/>
          <w:bCs/>
          <w:kern w:val="0"/>
          <w14:ligatures w14:val="none"/>
        </w:rPr>
      </w:pPr>
    </w:p>
    <w:p w:rsidR="00DA0356" w:rsidRPr="00DA0356" w:rsidRDefault="00DA0356" w:rsidP="00DA0356">
      <w:pPr>
        <w:spacing w:before="120" w:after="0" w:line="264" w:lineRule="auto"/>
        <w:rPr>
          <w:kern w:val="0"/>
          <w:lang w:eastAsia="pl-PL"/>
          <w14:ligatures w14:val="none"/>
        </w:rPr>
      </w:pPr>
    </w:p>
    <w:bookmarkEnd w:id="12"/>
    <w:p w:rsidR="00DA0356" w:rsidRPr="00DA0356" w:rsidRDefault="00DA0356" w:rsidP="00DA0356">
      <w:pPr>
        <w:spacing w:before="120" w:after="0" w:line="264" w:lineRule="auto"/>
        <w:rPr>
          <w:kern w:val="0"/>
          <w:lang w:eastAsia="pl-PL"/>
          <w14:ligatures w14:val="none"/>
        </w:rPr>
      </w:pPr>
    </w:p>
    <w:bookmarkEnd w:id="13"/>
    <w:p w:rsidR="009C093E" w:rsidRDefault="009C093E"/>
    <w:sectPr w:rsidR="009C0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1549" w:rsidRDefault="001F1549" w:rsidP="00DA0356">
      <w:pPr>
        <w:spacing w:after="0" w:line="240" w:lineRule="auto"/>
      </w:pPr>
      <w:r>
        <w:separator/>
      </w:r>
    </w:p>
  </w:endnote>
  <w:endnote w:type="continuationSeparator" w:id="0">
    <w:p w:rsidR="001F1549" w:rsidRDefault="001F1549" w:rsidP="00DA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3" w:usb1="08070000" w:usb2="00000010" w:usb3="00000000" w:csb0="0002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87795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DA0356" w:rsidRDefault="00DA0356" w:rsidP="00EB5ED3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1549" w:rsidRDefault="001F1549" w:rsidP="00DA0356">
      <w:pPr>
        <w:spacing w:after="0" w:line="240" w:lineRule="auto"/>
      </w:pPr>
      <w:r>
        <w:separator/>
      </w:r>
    </w:p>
  </w:footnote>
  <w:footnote w:type="continuationSeparator" w:id="0">
    <w:p w:rsidR="001F1549" w:rsidRDefault="001F1549" w:rsidP="00DA0356">
      <w:pPr>
        <w:spacing w:after="0" w:line="240" w:lineRule="auto"/>
      </w:pPr>
      <w:r>
        <w:continuationSeparator/>
      </w:r>
    </w:p>
  </w:footnote>
  <w:footnote w:id="1">
    <w:p w:rsidR="00DA0356" w:rsidRPr="001F1C60" w:rsidRDefault="00DA0356" w:rsidP="00DA0356">
      <w:pPr>
        <w:pStyle w:val="Tekstprzypisudolnego"/>
        <w:rPr>
          <w:rFonts w:cstheme="minorHAnsi"/>
        </w:rPr>
      </w:pPr>
      <w:r w:rsidRPr="001F1C60">
        <w:rPr>
          <w:rStyle w:val="Odwoanieprzypisudolnego"/>
        </w:rPr>
        <w:footnoteRef/>
      </w:r>
      <w:r w:rsidRPr="001F1C60">
        <w:rPr>
          <w:rFonts w:cstheme="minorHAnsi"/>
        </w:rPr>
        <w:t xml:space="preserve"> Ocena dokonywana była na skali od 1 do 5 punktów, przy czym 1 oznacza będzie bardzo niski poziom, a 5 bardzo wysoki poziom oceny danego obszaru w analizie SWOT. Odcieniami kolorów zaznaczono obszary, które otrzymały najwyższe i wysokie wartości punktowe.</w:t>
      </w:r>
      <w:r>
        <w:rPr>
          <w:rFonts w:cstheme="minorHAnsi"/>
        </w:rPr>
        <w:t xml:space="preserve"> W badaniu kwestionariuszowym realizowanym w okresie marzec-kwiecień 2023 r. udział wzięło 23 członków stowarzyszenia: najwięcej z Gminy Złocieniec (28%), najmniej z gminy Kalisz Pomorski i Mirosławiec (0%), w pozostałych gminach członkowskich oddano pojedyncze głosy spośród członków, mieszkańców obszaru LSR. </w:t>
      </w:r>
    </w:p>
  </w:footnote>
  <w:footnote w:id="2">
    <w:p w:rsidR="00DA0356" w:rsidRPr="0093180B" w:rsidRDefault="00DA0356" w:rsidP="00DA0356">
      <w:pPr>
        <w:pStyle w:val="Tekstprzypisudolnego"/>
        <w:rPr>
          <w:rFonts w:cstheme="minorHAnsi"/>
        </w:rPr>
      </w:pPr>
      <w:r w:rsidRPr="0093180B">
        <w:rPr>
          <w:rStyle w:val="Odwoanieprzypisudolnego"/>
          <w:rFonts w:cstheme="minorHAnsi"/>
        </w:rPr>
        <w:footnoteRef/>
      </w:r>
      <w:r w:rsidRPr="0093180B">
        <w:rPr>
          <w:rFonts w:cstheme="minorHAnsi"/>
        </w:rPr>
        <w:t xml:space="preserve"> Wskaźnik Schneidera jest wskaźnikiem intensywności ruchu turystycznego, wyrażony liczbą turystów korzystających z noclegów, przypadającą na 1000 mieszkańców stałych</w:t>
      </w:r>
    </w:p>
  </w:footnote>
  <w:footnote w:id="3">
    <w:p w:rsidR="00DA0356" w:rsidRPr="00FD2837" w:rsidRDefault="00DA0356" w:rsidP="00DA0356">
      <w:pPr>
        <w:pStyle w:val="Tekstprzypisudolnego"/>
        <w:rPr>
          <w:rFonts w:cstheme="minorHAnsi"/>
        </w:rPr>
      </w:pPr>
      <w:r w:rsidRPr="00FD2837">
        <w:rPr>
          <w:rStyle w:val="Odwoanieprzypisudolnego"/>
          <w:rFonts w:cstheme="minorHAnsi"/>
        </w:rPr>
        <w:footnoteRef/>
      </w:r>
      <w:r w:rsidRPr="00FD2837">
        <w:rPr>
          <w:rFonts w:cstheme="minorHAnsi"/>
        </w:rPr>
        <w:t xml:space="preserve"> ZIT Strefy Centralnej tworzy 19 jednostek samorządu terytorialnego, w tym 3 powiaty, 6 gmin wiejskich, 9 gmin miejsko-wiejskich i jedna gmina miejska: Gmina Czaplinek, Gmina Drawsko Pomorskie, Gmina Kalisz Pomorski, Gmina Wierzchowo, Gmina Złocieniec, Gmina Dobra</w:t>
      </w:r>
      <w:r>
        <w:rPr>
          <w:rFonts w:cstheme="minorHAnsi"/>
        </w:rPr>
        <w:t xml:space="preserve">, </w:t>
      </w:r>
      <w:r w:rsidRPr="00FD2837">
        <w:rPr>
          <w:rFonts w:cstheme="minorHAnsi"/>
        </w:rPr>
        <w:t>Gmina Łobez, Gmina Radowo Małe</w:t>
      </w:r>
      <w:r>
        <w:rPr>
          <w:rFonts w:cstheme="minorHAnsi"/>
        </w:rPr>
        <w:t xml:space="preserve">, </w:t>
      </w:r>
      <w:r w:rsidRPr="00FD2837">
        <w:rPr>
          <w:rFonts w:cstheme="minorHAnsi"/>
        </w:rPr>
        <w:t>Gmina Resko</w:t>
      </w:r>
      <w:r>
        <w:rPr>
          <w:rFonts w:cstheme="minorHAnsi"/>
        </w:rPr>
        <w:t xml:space="preserve">, </w:t>
      </w:r>
      <w:r w:rsidRPr="00FD2837">
        <w:rPr>
          <w:rFonts w:cstheme="minorHAnsi"/>
        </w:rPr>
        <w:t>Gmina Węgorzyno</w:t>
      </w:r>
      <w:r>
        <w:rPr>
          <w:rFonts w:cstheme="minorHAnsi"/>
        </w:rPr>
        <w:t xml:space="preserve">, </w:t>
      </w:r>
      <w:r w:rsidRPr="00FD2837">
        <w:rPr>
          <w:rFonts w:cstheme="minorHAnsi"/>
        </w:rPr>
        <w:t>Gmina Brzeżno, Gmina Rąbino</w:t>
      </w:r>
      <w:r>
        <w:rPr>
          <w:rFonts w:cstheme="minorHAnsi"/>
        </w:rPr>
        <w:t>,</w:t>
      </w:r>
      <w:r w:rsidRPr="00FD2837">
        <w:rPr>
          <w:rFonts w:cstheme="minorHAnsi"/>
        </w:rPr>
        <w:t xml:space="preserve"> Gmina Sławoborz</w:t>
      </w:r>
      <w:r>
        <w:rPr>
          <w:rFonts w:cstheme="minorHAnsi"/>
        </w:rPr>
        <w:t xml:space="preserve">e, </w:t>
      </w:r>
      <w:r w:rsidRPr="00FD2837">
        <w:rPr>
          <w:rFonts w:cstheme="minorHAnsi"/>
        </w:rPr>
        <w:t>Gmina Świdwi</w:t>
      </w:r>
      <w:r>
        <w:rPr>
          <w:rFonts w:cstheme="minorHAnsi"/>
        </w:rPr>
        <w:t>n,</w:t>
      </w:r>
      <w:r w:rsidRPr="00FD2837">
        <w:rPr>
          <w:rFonts w:cstheme="minorHAnsi"/>
        </w:rPr>
        <w:t xml:space="preserve"> Gmina Miejska Świdwin, Gmina Połczyn-Zdrój, Powiat Drawski, Powiat Łobeski</w:t>
      </w:r>
      <w:r>
        <w:rPr>
          <w:rFonts w:cstheme="minorHAnsi"/>
        </w:rPr>
        <w:t xml:space="preserve">, </w:t>
      </w:r>
      <w:r w:rsidRPr="00FD2837">
        <w:rPr>
          <w:rFonts w:cstheme="minorHAnsi"/>
        </w:rPr>
        <w:t>Powiat Świdwiński</w:t>
      </w:r>
    </w:p>
  </w:footnote>
  <w:footnote w:id="4">
    <w:p w:rsidR="00DA0356" w:rsidRPr="00FD2837" w:rsidRDefault="00DA0356" w:rsidP="00DA0356">
      <w:pPr>
        <w:pStyle w:val="Tekstprzypisudolnego"/>
        <w:rPr>
          <w:rFonts w:cstheme="minorHAnsi"/>
        </w:rPr>
      </w:pPr>
      <w:r w:rsidRPr="00FD2837">
        <w:rPr>
          <w:rStyle w:val="Odwoanieprzypisudolnego"/>
          <w:rFonts w:cstheme="minorHAnsi"/>
        </w:rPr>
        <w:footnoteRef/>
      </w:r>
      <w:r w:rsidRPr="00FD2837">
        <w:rPr>
          <w:rFonts w:cstheme="minorHAnsi"/>
        </w:rPr>
        <w:t xml:space="preserve"> ZIT Partnerstwo Sieć współpracy zarządzania strategicznego gmin na rzecz kompleksowego rozwoju powiatu wałeckiego tworzy Powiat Wałecki, Gmina Miejska Wałcz, Gmina Wałcz, Miasto i Gmina Człopa, Gmina i Miasto, Mirosławiec, Gmina i Miasto Tuczno</w:t>
      </w:r>
    </w:p>
  </w:footnote>
  <w:footnote w:id="5">
    <w:p w:rsidR="00DA0356" w:rsidRPr="003616E1" w:rsidRDefault="00DA0356" w:rsidP="00DA0356">
      <w:pPr>
        <w:pStyle w:val="Tekstprzypisudolnego"/>
        <w:rPr>
          <w:rFonts w:cstheme="minorHAnsi"/>
        </w:rPr>
      </w:pPr>
      <w:r w:rsidRPr="003616E1">
        <w:rPr>
          <w:rStyle w:val="Odwoanieprzypisudolnego"/>
        </w:rPr>
        <w:footnoteRef/>
      </w:r>
      <w:r w:rsidRPr="003616E1">
        <w:rPr>
          <w:rFonts w:cstheme="minorHAnsi"/>
        </w:rPr>
        <w:t xml:space="preserve"> Przez seniorów należy rozumieć osoby starsze czyli obywateli, którzy ukończyli 60. rok życia zgodnie z art. 4 ust. 1 ustawy z dnia 11 września 2015 r. o osobach starszych. (Dz.U. 2015 poz. 1705)</w:t>
      </w:r>
    </w:p>
  </w:footnote>
  <w:footnote w:id="6">
    <w:p w:rsidR="00DA0356" w:rsidRPr="00CB74D6" w:rsidRDefault="00DA0356" w:rsidP="00DA0356">
      <w:pPr>
        <w:pStyle w:val="Tekstprzypisudolnego"/>
        <w:rPr>
          <w:rFonts w:cstheme="minorHAnsi"/>
        </w:rPr>
      </w:pPr>
      <w:r w:rsidRPr="00CB74D6">
        <w:rPr>
          <w:rStyle w:val="Odwoanieprzypisudolnego"/>
          <w:rFonts w:cstheme="minorHAnsi"/>
        </w:rPr>
        <w:footnoteRef/>
      </w:r>
      <w:r w:rsidRPr="00CB74D6">
        <w:rPr>
          <w:rFonts w:cstheme="minorHAnsi"/>
        </w:rPr>
        <w:t xml:space="preserve"> do 25 roku życia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0356" w:rsidRPr="00071ABC" w:rsidRDefault="00DA0356" w:rsidP="00763711">
    <w:pPr>
      <w:spacing w:after="0" w:line="240" w:lineRule="auto"/>
      <w:jc w:val="center"/>
      <w:rPr>
        <w:rFonts w:eastAsia="Times New Roman" w:cstheme="minorHAnsi"/>
        <w:color w:val="44546A" w:themeColor="text2"/>
        <w:sz w:val="16"/>
        <w:szCs w:val="16"/>
        <w:lang w:eastAsia="pl-PL"/>
      </w:rPr>
    </w:pPr>
    <w:r w:rsidRPr="00071ABC">
      <w:rPr>
        <w:rFonts w:eastAsia="Times New Roman" w:cstheme="minorHAnsi"/>
        <w:color w:val="44546A" w:themeColor="text2"/>
        <w:sz w:val="16"/>
        <w:szCs w:val="16"/>
        <w:lang w:eastAsia="pl-PL"/>
      </w:rPr>
      <w:t xml:space="preserve">LOKALNA STRATEGIA ROZWOJU NA LATA 2023-2027 </w:t>
    </w:r>
  </w:p>
  <w:p w:rsidR="00DA0356" w:rsidRPr="00071ABC" w:rsidRDefault="00DA0356" w:rsidP="00763711">
    <w:pPr>
      <w:spacing w:after="0" w:line="240" w:lineRule="auto"/>
      <w:jc w:val="center"/>
      <w:rPr>
        <w:rFonts w:eastAsia="Times New Roman" w:cstheme="minorHAnsi"/>
        <w:i/>
        <w:iCs/>
        <w:color w:val="44546A" w:themeColor="text2"/>
        <w:sz w:val="16"/>
        <w:szCs w:val="16"/>
        <w:lang w:eastAsia="pl-PL"/>
      </w:rPr>
    </w:pPr>
    <w:r w:rsidRPr="00071ABC">
      <w:rPr>
        <w:rFonts w:eastAsia="Times New Roman" w:cstheme="minorHAnsi"/>
        <w:color w:val="44546A" w:themeColor="text2"/>
        <w:sz w:val="16"/>
        <w:szCs w:val="16"/>
        <w:lang w:eastAsia="pl-PL"/>
      </w:rPr>
      <w:t>STOWARZYSZENIE LOKALNA GRUPA DZIAŁANIA „PARTNERSTWO DRAWY Z LIDEREM WAŁECKIM</w:t>
    </w:r>
    <w:r>
      <w:rPr>
        <w:rFonts w:eastAsia="Times New Roman" w:cstheme="minorHAnsi"/>
        <w:color w:val="44546A" w:themeColor="text2"/>
        <w:sz w:val="16"/>
        <w:szCs w:val="16"/>
        <w:lang w:eastAsia="pl-PL"/>
      </w:rPr>
      <w:t>”</w:t>
    </w:r>
    <w:r w:rsidRPr="00071ABC">
      <w:rPr>
        <w:rFonts w:eastAsia="Times New Roman" w:cstheme="minorHAnsi"/>
        <w:i/>
        <w:iCs/>
        <w:color w:val="44546A" w:themeColor="text2"/>
        <w:sz w:val="16"/>
        <w:szCs w:val="16"/>
        <w:lang w:eastAsia="pl-PL"/>
      </w:rPr>
      <w:t xml:space="preserve"> </w:t>
    </w:r>
  </w:p>
  <w:p w:rsidR="00DA0356" w:rsidRPr="00763711" w:rsidRDefault="00DA0356">
    <w:pPr>
      <w:pStyle w:val="Nagwek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0356" w:rsidRPr="00071ABC" w:rsidRDefault="00DA0356" w:rsidP="003934A4">
    <w:pPr>
      <w:spacing w:after="0" w:line="240" w:lineRule="auto"/>
      <w:jc w:val="center"/>
      <w:rPr>
        <w:rFonts w:eastAsia="Times New Roman" w:cstheme="minorHAnsi"/>
        <w:color w:val="44546A" w:themeColor="text2"/>
        <w:sz w:val="16"/>
        <w:szCs w:val="16"/>
        <w:lang w:eastAsia="pl-PL"/>
      </w:rPr>
    </w:pPr>
    <w:r w:rsidRPr="00071ABC">
      <w:rPr>
        <w:rFonts w:eastAsia="Times New Roman" w:cstheme="minorHAnsi"/>
        <w:color w:val="44546A" w:themeColor="text2"/>
        <w:sz w:val="16"/>
        <w:szCs w:val="16"/>
        <w:lang w:eastAsia="pl-PL"/>
      </w:rPr>
      <w:t xml:space="preserve">LOKALNA STRATEGIA ROZWOJU NA LATA 2023-2027 </w:t>
    </w:r>
  </w:p>
  <w:p w:rsidR="00DA0356" w:rsidRPr="00071ABC" w:rsidRDefault="00DA0356" w:rsidP="006D50EF">
    <w:pPr>
      <w:spacing w:after="0" w:line="240" w:lineRule="auto"/>
      <w:jc w:val="center"/>
      <w:rPr>
        <w:rFonts w:eastAsia="Times New Roman" w:cstheme="minorHAnsi"/>
        <w:i/>
        <w:iCs/>
        <w:color w:val="44546A" w:themeColor="text2"/>
        <w:sz w:val="16"/>
        <w:szCs w:val="16"/>
        <w:lang w:eastAsia="pl-PL"/>
      </w:rPr>
    </w:pPr>
    <w:r w:rsidRPr="00071ABC">
      <w:rPr>
        <w:rFonts w:eastAsia="Times New Roman" w:cstheme="minorHAnsi"/>
        <w:color w:val="44546A" w:themeColor="text2"/>
        <w:sz w:val="16"/>
        <w:szCs w:val="16"/>
        <w:lang w:eastAsia="pl-PL"/>
      </w:rPr>
      <w:t>STOWARZYSZENIE LOKALNA GRUPA DZIAŁANIA „PARTNERSTWO DRAWY Z LIDEREM WAŁECKIM</w:t>
    </w:r>
    <w:r>
      <w:rPr>
        <w:rFonts w:eastAsia="Times New Roman" w:cstheme="minorHAnsi"/>
        <w:i/>
        <w:iCs/>
        <w:color w:val="44546A" w:themeColor="text2"/>
        <w:sz w:val="16"/>
        <w:szCs w:val="16"/>
        <w:lang w:eastAsia="pl-PL"/>
      </w:rPr>
      <w:t>”</w:t>
    </w:r>
  </w:p>
  <w:p w:rsidR="00DA0356" w:rsidRPr="003934A4" w:rsidRDefault="00DA0356" w:rsidP="003934A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0356" w:rsidRPr="00071ABC" w:rsidRDefault="00DA0356" w:rsidP="00071ABC">
    <w:pPr>
      <w:spacing w:after="0" w:line="240" w:lineRule="auto"/>
      <w:jc w:val="center"/>
      <w:rPr>
        <w:rFonts w:eastAsia="Times New Roman" w:cstheme="minorHAnsi"/>
        <w:color w:val="44546A" w:themeColor="text2"/>
        <w:sz w:val="16"/>
        <w:szCs w:val="16"/>
        <w:lang w:eastAsia="pl-PL"/>
      </w:rPr>
    </w:pPr>
    <w:r w:rsidRPr="00071ABC">
      <w:rPr>
        <w:rFonts w:eastAsia="Times New Roman" w:cstheme="minorHAnsi"/>
        <w:color w:val="44546A" w:themeColor="text2"/>
        <w:sz w:val="16"/>
        <w:szCs w:val="16"/>
        <w:lang w:eastAsia="pl-PL"/>
      </w:rPr>
      <w:t xml:space="preserve">LOKALNA STRATEGIA ROZWOJU NA LATA 2023-2027 </w:t>
    </w:r>
  </w:p>
  <w:p w:rsidR="00DA0356" w:rsidRPr="00071ABC" w:rsidRDefault="00DA0356" w:rsidP="00071ABC">
    <w:pPr>
      <w:spacing w:after="0" w:line="240" w:lineRule="auto"/>
      <w:jc w:val="center"/>
      <w:rPr>
        <w:rFonts w:eastAsia="Times New Roman" w:cstheme="minorHAnsi"/>
        <w:i/>
        <w:iCs/>
        <w:color w:val="44546A" w:themeColor="text2"/>
        <w:sz w:val="16"/>
        <w:szCs w:val="16"/>
        <w:lang w:eastAsia="pl-PL"/>
      </w:rPr>
    </w:pPr>
    <w:r w:rsidRPr="00071ABC">
      <w:rPr>
        <w:rFonts w:eastAsia="Times New Roman" w:cstheme="minorHAnsi"/>
        <w:color w:val="44546A" w:themeColor="text2"/>
        <w:sz w:val="16"/>
        <w:szCs w:val="16"/>
        <w:lang w:eastAsia="pl-PL"/>
      </w:rPr>
      <w:t>STOWARZYSZENIE LOKALNA GRUPA DZIAŁANIA „PARTNERSTWO DRAWY Z LIDEREM WAŁECKIM</w:t>
    </w:r>
    <w:r>
      <w:rPr>
        <w:rFonts w:eastAsia="Times New Roman" w:cstheme="minorHAnsi"/>
        <w:color w:val="44546A" w:themeColor="text2"/>
        <w:sz w:val="16"/>
        <w:szCs w:val="16"/>
        <w:lang w:eastAsia="pl-PL"/>
      </w:rPr>
      <w:t>”</w:t>
    </w:r>
    <w:r w:rsidRPr="00071ABC">
      <w:rPr>
        <w:rFonts w:eastAsia="Times New Roman" w:cstheme="minorHAnsi"/>
        <w:i/>
        <w:iCs/>
        <w:color w:val="44546A" w:themeColor="text2"/>
        <w:sz w:val="16"/>
        <w:szCs w:val="16"/>
        <w:lang w:eastAsia="pl-PL"/>
      </w:rPr>
      <w:t xml:space="preserve"> </w:t>
    </w:r>
  </w:p>
  <w:p w:rsidR="00DA0356" w:rsidRPr="00071ABC" w:rsidRDefault="00DA0356" w:rsidP="00071ABC">
    <w:pPr>
      <w:spacing w:after="0" w:line="240" w:lineRule="auto"/>
      <w:jc w:val="center"/>
      <w:rPr>
        <w:rFonts w:eastAsia="Times New Roman" w:cstheme="minorHAnsi"/>
        <w:i/>
        <w:iCs/>
        <w:color w:val="44546A" w:themeColor="text2"/>
        <w:sz w:val="16"/>
        <w:szCs w:val="16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F6EDA"/>
    <w:multiLevelType w:val="hybridMultilevel"/>
    <w:tmpl w:val="F56A6BBA"/>
    <w:lvl w:ilvl="0" w:tplc="5D560B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3101F"/>
    <w:multiLevelType w:val="hybridMultilevel"/>
    <w:tmpl w:val="4AD672F4"/>
    <w:lvl w:ilvl="0" w:tplc="043EF6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368887">
    <w:abstractNumId w:val="1"/>
  </w:num>
  <w:num w:numId="2" w16cid:durableId="1808862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356"/>
    <w:rsid w:val="001F1549"/>
    <w:rsid w:val="009C093E"/>
    <w:rsid w:val="00DA0356"/>
    <w:rsid w:val="00E3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8F929-3203-4BE3-B2A4-DF0CBB2B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035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0356"/>
    <w:rPr>
      <w:sz w:val="20"/>
      <w:szCs w:val="20"/>
    </w:rPr>
  </w:style>
  <w:style w:type="paragraph" w:styleId="Nagwek">
    <w:name w:val="header"/>
    <w:basedOn w:val="Normalny"/>
    <w:link w:val="NagwekZnak"/>
    <w:unhideWhenUsed/>
    <w:rsid w:val="00DA0356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qFormat/>
    <w:rsid w:val="00DA035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A0356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DA0356"/>
    <w:rPr>
      <w:kern w:val="0"/>
      <w14:ligatures w14:val="none"/>
    </w:rPr>
  </w:style>
  <w:style w:type="character" w:styleId="Odwoanieprzypisudolnego">
    <w:name w:val="footnote reference"/>
    <w:aliases w:val="EN Footnote Reference,Times 10 Point,Exposant 3 Point,Footnote symbol,Footnote reference number,note TESI,stylish,Footnote Reference Number,Odwołanie przypisu,Überschrift 4 Zchn1,Título 4 Car Zchn,Heading 4 Char1 Car Zchn,SUPE"/>
    <w:basedOn w:val="Domylnaczcionkaakapitu"/>
    <w:link w:val="FootnotesymbolCarZchn"/>
    <w:uiPriority w:val="99"/>
    <w:qFormat/>
    <w:rsid w:val="00DA0356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DA035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ny"/>
    <w:link w:val="Odwoanieprzypisudolnego"/>
    <w:uiPriority w:val="99"/>
    <w:qFormat/>
    <w:rsid w:val="00DA0356"/>
    <w:pPr>
      <w:spacing w:line="240" w:lineRule="exact"/>
      <w:jc w:val="both"/>
    </w:pPr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w.wzp.pl/wiadomosci/wiadomosci/prow-2014-2020/wiadomosc-dnia/zarzad-wojewodztwa-zachodniopomorskiego-oglasza-konkurs-na-wybor-strategii-rozwoju-lokalnego" TargetMode="Externa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3755</Words>
  <Characters>22532</Characters>
  <Application>Microsoft Office Word</Application>
  <DocSecurity>0</DocSecurity>
  <Lines>187</Lines>
  <Paragraphs>52</Paragraphs>
  <ScaleCrop>false</ScaleCrop>
  <Company/>
  <LinksUpToDate>false</LinksUpToDate>
  <CharactersWithSpaces>26235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Ania</cp:lastModifiedBy>
  <cp:revision>1</cp:revision>
  <dcterms:created xsi:type="dcterms:W3CDTF">2023-05-12T06:41:00Z</dcterms:created>
  <dcterms:modified xsi:type="dcterms:W3CDTF">2023-05-12T06:42:00Z</dcterms:modified>
</cp:coreProperties>
</file>